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37B4C" w14:textId="77777777" w:rsidR="0026000D" w:rsidRPr="008A7E71" w:rsidRDefault="00914E5D" w:rsidP="004F4A3D">
      <w:pPr>
        <w:pStyle w:val="MainTitle"/>
      </w:pPr>
      <w:bookmarkStart w:id="0" w:name="_GoBack"/>
      <w:bookmarkEnd w:id="0"/>
      <w:r>
        <w:rPr>
          <w:noProof/>
        </w:rPr>
        <w:drawing>
          <wp:anchor distT="0" distB="0" distL="114300" distR="114300" simplePos="0" relativeHeight="251658240" behindDoc="0" locked="1" layoutInCell="1" allowOverlap="1" wp14:anchorId="33126FB6" wp14:editId="655457AE">
            <wp:simplePos x="0" y="0"/>
            <wp:positionH relativeFrom="margin">
              <wp:posOffset>5080000</wp:posOffset>
            </wp:positionH>
            <wp:positionV relativeFrom="margin">
              <wp:posOffset>6223000</wp:posOffset>
            </wp:positionV>
            <wp:extent cx="1645923" cy="1120142"/>
            <wp:effectExtent l="0" t="0" r="0" b="0"/>
            <wp:wrapNone/>
            <wp:docPr id="100038" name="Picture 100038"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46696" name=""/>
                    <pic:cNvPicPr>
                      <a:picLocks noChangeAspect="1"/>
                    </pic:cNvPicPr>
                  </pic:nvPicPr>
                  <pic:blipFill>
                    <a:blip r:embed="rId7"/>
                    <a:stretch>
                      <a:fillRect/>
                    </a:stretch>
                  </pic:blipFill>
                  <pic:spPr>
                    <a:xfrm>
                      <a:off x="0" y="0"/>
                      <a:ext cx="1645923" cy="1120142"/>
                    </a:xfrm>
                    <a:prstGeom prst="rect">
                      <a:avLst/>
                    </a:prstGeom>
                  </pic:spPr>
                </pic:pic>
              </a:graphicData>
            </a:graphic>
          </wp:anchor>
        </w:drawing>
      </w:r>
      <w:r w:rsidR="009C1BF1">
        <w:rPr>
          <w:noProof/>
        </w:rPr>
        <mc:AlternateContent>
          <mc:Choice Requires="wps">
            <w:drawing>
              <wp:anchor distT="45720" distB="45720" distL="114300" distR="114300" simplePos="0" relativeHeight="251659264" behindDoc="0" locked="0" layoutInCell="1" allowOverlap="1" wp14:anchorId="6FB4A1BF" wp14:editId="7FAE2008">
                <wp:simplePos x="0" y="0"/>
                <wp:positionH relativeFrom="column">
                  <wp:posOffset>4564380</wp:posOffset>
                </wp:positionH>
                <wp:positionV relativeFrom="page">
                  <wp:posOffset>2872740</wp:posOffset>
                </wp:positionV>
                <wp:extent cx="2413000" cy="31521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152140"/>
                        </a:xfrm>
                        <a:prstGeom prst="rect">
                          <a:avLst/>
                        </a:prstGeom>
                        <a:noFill/>
                        <a:ln w="9525">
                          <a:noFill/>
                          <a:miter lim="800000"/>
                          <a:headEnd/>
                          <a:tailEnd/>
                        </a:ln>
                      </wps:spPr>
                      <wps:txbx>
                        <w:txbxContent>
                          <w:p w14:paraId="69ED1A3A" w14:textId="77777777" w:rsidR="00EC05C9" w:rsidRDefault="009C1BF1" w:rsidP="00EC05C9">
                            <w:pPr>
                              <w:pStyle w:val="SubHeader"/>
                            </w:pPr>
                            <w:r>
                              <w:t xml:space="preserve">Paid Leave </w:t>
                            </w:r>
                            <w:r w:rsidR="00CA6306">
                              <w:t>Requirements</w:t>
                            </w:r>
                          </w:p>
                          <w:p w14:paraId="48140FCB" w14:textId="77777777" w:rsidR="00277FA3" w:rsidRDefault="009C1BF1" w:rsidP="00EC05C9">
                            <w:pPr>
                              <w:pStyle w:val="BodyText"/>
                            </w:pPr>
                            <w:r>
                              <w:t xml:space="preserve">The federal coronavirus relief </w:t>
                            </w:r>
                            <w:r w:rsidR="00F938F7">
                              <w:t>law</w:t>
                            </w:r>
                            <w:r>
                              <w:t xml:space="preserve"> requires employers to </w:t>
                            </w:r>
                            <w:r>
                              <w:t xml:space="preserve">provide paid sick and family leave for COVID-19-related reasons, including lack of child care.  </w:t>
                            </w:r>
                          </w:p>
                          <w:p w14:paraId="44AEA7BA" w14:textId="77777777" w:rsidR="00EC05C9" w:rsidRDefault="009C1BF1" w:rsidP="00EC05C9">
                            <w:pPr>
                              <w:pStyle w:val="SubHeader"/>
                            </w:pPr>
                            <w:r>
                              <w:t xml:space="preserve">Employer Tax Credits </w:t>
                            </w:r>
                          </w:p>
                          <w:p w14:paraId="7B656142" w14:textId="77777777" w:rsidR="00110963" w:rsidRDefault="009C1BF1" w:rsidP="00EC05C9">
                            <w:pPr>
                              <w:pStyle w:val="BodyText"/>
                              <w:tabs>
                                <w:tab w:val="left" w:pos="1440"/>
                              </w:tabs>
                            </w:pPr>
                            <w:bookmarkStart w:id="1" w:name="_Hlk35859319"/>
                            <w:r w:rsidRPr="00791D5F">
                              <w:t>Eligible employers</w:t>
                            </w:r>
                            <w:r w:rsidR="00277FA3">
                              <w:t xml:space="preserve"> may</w:t>
                            </w:r>
                            <w:r w:rsidRPr="00791D5F">
                              <w:t xml:space="preserve"> claim t</w:t>
                            </w:r>
                            <w:r>
                              <w:t>wo tax</w:t>
                            </w:r>
                            <w:r w:rsidRPr="00791D5F">
                              <w:t xml:space="preserve"> credits based on </w:t>
                            </w:r>
                            <w:r w:rsidR="00277FA3">
                              <w:t xml:space="preserve">the </w:t>
                            </w:r>
                            <w:r w:rsidR="00CA6306">
                              <w:t xml:space="preserve">COVID-19-related paid </w:t>
                            </w:r>
                            <w:r w:rsidR="00277FA3">
                              <w:t>leave that</w:t>
                            </w:r>
                            <w:r w:rsidRPr="00791D5F">
                              <w:t xml:space="preserve"> they provide</w:t>
                            </w:r>
                            <w:r w:rsidR="00277FA3">
                              <w:t xml:space="preserve"> </w:t>
                            </w:r>
                            <w:r w:rsidRPr="00791D5F">
                              <w:t xml:space="preserve">between </w:t>
                            </w:r>
                            <w:r w:rsidR="00277FA3">
                              <w:t xml:space="preserve">April 2 and </w:t>
                            </w:r>
                            <w:r w:rsidRPr="00791D5F">
                              <w:t>Dec. 31, 2020</w:t>
                            </w:r>
                            <w:bookmarkEnd w:id="1"/>
                            <w:r w:rsidR="0048101F">
                              <w:t xml:space="preserve">. </w:t>
                            </w:r>
                          </w:p>
                          <w:p w14:paraId="7B51273F" w14:textId="77777777" w:rsidR="0048101F" w:rsidRDefault="009C1BF1" w:rsidP="0048101F">
                            <w:pPr>
                              <w:pStyle w:val="SubHeader"/>
                            </w:pPr>
                            <w:r>
                              <w:t>Small Business Exemption</w:t>
                            </w:r>
                          </w:p>
                          <w:p w14:paraId="735B88E8" w14:textId="77777777" w:rsidR="0048101F" w:rsidRDefault="009C1BF1" w:rsidP="00EC05C9">
                            <w:pPr>
                              <w:pStyle w:val="BodyText"/>
                              <w:tabs>
                                <w:tab w:val="left" w:pos="1440"/>
                              </w:tabs>
                            </w:pPr>
                            <w:r>
                              <w:t>Em</w:t>
                            </w:r>
                            <w:r w:rsidR="00D940C8">
                              <w:t>ployers with fewer than 50 employees</w:t>
                            </w:r>
                            <w:r>
                              <w:t xml:space="preserve"> may qualify for an exemption from paid child care leave requirements.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190pt;height:248.2pt;margin-top:226.2pt;margin-left:359.4pt;mso-height-percent:0;mso-height-relative:margin;mso-position-vertical-relative:page;mso-width-percent:0;mso-width-relative:margin;mso-wrap-distance-bottom:3.6pt;mso-wrap-distance-left:9pt;mso-wrap-distance-right:9pt;mso-wrap-distance-top:3.6pt;mso-wrap-style:square;position:absolute;visibility:visible;v-text-anchor:top;z-index:251660288" filled="f" stroked="f">
                <v:textbox>
                  <w:txbxContent>
                    <w:p w:rsidR="00EC05C9" w:rsidP="00EC05C9" w14:paraId="35B33707" w14:textId="6BBD811E">
                      <w:pPr>
                        <w:pStyle w:val="SubHeader"/>
                      </w:pPr>
                      <w:r>
                        <w:t xml:space="preserve">Paid Leave </w:t>
                      </w:r>
                      <w:r w:rsidR="00CA6306">
                        <w:t>Requirements</w:t>
                      </w:r>
                    </w:p>
                    <w:p w:rsidR="00277FA3" w:rsidP="00EC05C9" w14:paraId="0A3AF479" w14:textId="6192E44A">
                      <w:pPr>
                        <w:pStyle w:val="BodyText"/>
                      </w:pPr>
                      <w:r>
                        <w:t xml:space="preserve">The federal coronavirus relief </w:t>
                      </w:r>
                      <w:r w:rsidR="00F938F7">
                        <w:t>law</w:t>
                      </w:r>
                      <w:r>
                        <w:t xml:space="preserve"> requires employers to </w:t>
                      </w:r>
                      <w:r>
                        <w:t xml:space="preserve">provide paid sick and family leave for COVID-19-related reasons, including lack of child care.  </w:t>
                      </w:r>
                    </w:p>
                    <w:p w:rsidR="00EC05C9" w:rsidP="00EC05C9" w14:paraId="7E10E723" w14:textId="11FF7316">
                      <w:pPr>
                        <w:pStyle w:val="SubHeader"/>
                      </w:pPr>
                      <w:r>
                        <w:t xml:space="preserve">Employer Tax Credits </w:t>
                      </w:r>
                    </w:p>
                    <w:p w:rsidR="00110963" w:rsidP="00EC05C9" w14:paraId="6980275E" w14:textId="643A6DC6">
                      <w:pPr>
                        <w:pStyle w:val="BodyText"/>
                        <w:tabs>
                          <w:tab w:val="left" w:pos="1440"/>
                        </w:tabs>
                      </w:pPr>
                      <w:bookmarkStart w:id="0" w:name="_Hlk35859319"/>
                      <w:r w:rsidRPr="00791D5F">
                        <w:t>Eligible employers</w:t>
                      </w:r>
                      <w:r w:rsidR="00277FA3">
                        <w:t xml:space="preserve"> may</w:t>
                      </w:r>
                      <w:r w:rsidRPr="00791D5F">
                        <w:t xml:space="preserve"> claim t</w:t>
                      </w:r>
                      <w:r>
                        <w:t>wo tax</w:t>
                      </w:r>
                      <w:r w:rsidRPr="00791D5F">
                        <w:t xml:space="preserve"> credits based on </w:t>
                      </w:r>
                      <w:r w:rsidR="00277FA3">
                        <w:t xml:space="preserve">the </w:t>
                      </w:r>
                      <w:r w:rsidR="00CA6306">
                        <w:t xml:space="preserve">COVID-19-related paid </w:t>
                      </w:r>
                      <w:r w:rsidR="00277FA3">
                        <w:t>leave that</w:t>
                      </w:r>
                      <w:r w:rsidRPr="00791D5F">
                        <w:t xml:space="preserve"> they provide</w:t>
                      </w:r>
                      <w:r w:rsidR="00277FA3">
                        <w:t xml:space="preserve"> </w:t>
                      </w:r>
                      <w:r w:rsidRPr="00791D5F">
                        <w:t xml:space="preserve">between </w:t>
                      </w:r>
                      <w:r w:rsidR="00277FA3">
                        <w:t xml:space="preserve">April 2 and </w:t>
                      </w:r>
                      <w:r w:rsidRPr="00791D5F">
                        <w:t>Dec. 31, 2020</w:t>
                      </w:r>
                      <w:bookmarkEnd w:id="0"/>
                      <w:r w:rsidR="0048101F">
                        <w:t xml:space="preserve">. </w:t>
                      </w:r>
                    </w:p>
                    <w:p w:rsidR="0048101F" w:rsidP="0048101F" w14:paraId="74733283" w14:textId="374D38F9">
                      <w:pPr>
                        <w:pStyle w:val="SubHeader"/>
                      </w:pPr>
                      <w:r>
                        <w:t>Small Business Exemption</w:t>
                      </w:r>
                    </w:p>
                    <w:p w:rsidR="0048101F" w:rsidP="00EC05C9" w14:paraId="0265C4FA" w14:textId="69E39277">
                      <w:pPr>
                        <w:pStyle w:val="BodyText"/>
                        <w:tabs>
                          <w:tab w:val="left" w:pos="1440"/>
                        </w:tabs>
                      </w:pPr>
                      <w:r>
                        <w:t>Em</w:t>
                      </w:r>
                      <w:r w:rsidR="00D940C8">
                        <w:t>ployers with fewer than 50 employees</w:t>
                      </w:r>
                      <w:r>
                        <w:t xml:space="preserve"> may qualify for an exemption from paid child care leave requirements. </w:t>
                      </w:r>
                      <w:r>
                        <w:t xml:space="preserve"> </w:t>
                      </w:r>
                    </w:p>
                  </w:txbxContent>
                </v:textbox>
                <w10:wrap type="square"/>
              </v:shape>
            </w:pict>
          </mc:Fallback>
        </mc:AlternateContent>
      </w:r>
      <w:r w:rsidR="0019007E">
        <w:rPr>
          <w:noProof/>
        </w:rPr>
        <mc:AlternateContent>
          <mc:Choice Requires="wpg">
            <w:drawing>
              <wp:anchor distT="0" distB="0" distL="114300" distR="114300" simplePos="0" relativeHeight="251667456" behindDoc="0" locked="0" layoutInCell="1" allowOverlap="1" wp14:anchorId="560FD8A7" wp14:editId="38F76159">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wpg:cNvGrpSpPr/>
                      <wpg:grpSpPr>
                        <a:xfrm>
                          <a:off x="0" y="0"/>
                          <a:ext cx="3324242" cy="367029"/>
                          <a:chOff x="3801" y="0"/>
                          <a:chExt cx="3324242" cy="367029"/>
                        </a:xfrm>
                      </wpg:grpSpPr>
                      <pic:pic xmlns:pic="http://schemas.openxmlformats.org/drawingml/2006/picture">
                        <pic:nvPicPr>
                          <pic:cNvPr id="37" name="Picture 3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542576196"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14:paraId="2CC111DF" w14:textId="77777777" w:rsidR="00E375D9" w:rsidRPr="00A8186B" w:rsidRDefault="009C1BF1" w:rsidP="00E375D9">
                              <w:pPr>
                                <w:pStyle w:val="SubHeader"/>
                                <w:rPr>
                                  <w:color w:val="FFFFFF" w:themeColor="background1"/>
                                  <w:sz w:val="32"/>
                                  <w:szCs w:val="32"/>
                                </w:rPr>
                              </w:pPr>
                              <w:r>
                                <w:rPr>
                                  <w:color w:val="FFFFFF" w:themeColor="background1"/>
                                  <w:sz w:val="32"/>
                                  <w:szCs w:val="32"/>
                                </w:rPr>
                                <w:t>Highlights</w:t>
                              </w:r>
                            </w:p>
                          </w:txbxContent>
                        </wps:txbx>
                        <wps:bodyPr rot="0" vert="horz" wrap="square" anchor="t" anchorCtr="0"/>
                      </wps:wsp>
                    </wpg:wgp>
                  </a:graphicData>
                </a:graphic>
              </wp:anchor>
            </w:drawing>
          </mc:Choice>
          <mc:Fallback>
            <w:pict>
              <v:group id="Group 39" o:spid="_x0000_s1027" style="width:262.35pt;height:28.9pt;margin-top:197.35pt;margin-left:348.25pt;mso-position-vertical-relative:page;position:absolute;z-index:251668480"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width:33242;height:3670;left:38;mso-wrap-style:square;position:absolute;visibility:visible">
                  <v:imagedata r:id="rId9" o:title=""/>
                </v:shape>
                <v:shape id="_x0000_s1029" type="#_x0000_t202" style="width:24130;height:3296;left:1232;mso-wrap-style:square;position:absolute;top:205;visibility:visible;v-text-anchor:top" filled="f" stroked="f">
                  <v:textbox>
                    <w:txbxContent>
                      <w:p w:rsidR="00E375D9" w:rsidRPr="00A8186B" w:rsidP="00E375D9" w14:paraId="57746912" w14:textId="77777777">
                        <w:pPr>
                          <w:pStyle w:val="SubHeader"/>
                          <w:rPr>
                            <w:color w:val="FFFFFF" w:themeColor="background1"/>
                            <w:sz w:val="32"/>
                            <w:szCs w:val="32"/>
                          </w:rPr>
                        </w:pPr>
                        <w:r>
                          <w:rPr>
                            <w:color w:val="FFFFFF" w:themeColor="background1"/>
                            <w:sz w:val="32"/>
                            <w:szCs w:val="32"/>
                          </w:rPr>
                          <w:t>Highlights</w:t>
                        </w:r>
                      </w:p>
                    </w:txbxContent>
                  </v:textbox>
                </v:shape>
              </v:group>
            </w:pict>
          </mc:Fallback>
        </mc:AlternateContent>
      </w:r>
      <w:r>
        <w:t>IRS</w:t>
      </w:r>
      <w:r w:rsidR="008E4994">
        <w:t xml:space="preserve"> </w:t>
      </w:r>
      <w:r w:rsidR="00D93B6A">
        <w:t xml:space="preserve">Issues </w:t>
      </w:r>
      <w:r w:rsidR="00FB161A">
        <w:t>Guidance on Tax Credits for Coronavirus Paid Leave</w:t>
      </w:r>
    </w:p>
    <w:p w14:paraId="791DE960" w14:textId="77777777" w:rsidR="00B25E88" w:rsidRPr="00B25E88" w:rsidRDefault="009C1BF1" w:rsidP="00B25E88">
      <w:pPr>
        <w:pStyle w:val="BodyText"/>
      </w:pPr>
      <w:r w:rsidRPr="00B25E88">
        <w:t>Small and midsize employers may begin usi</w:t>
      </w:r>
      <w:r w:rsidRPr="00B25E88">
        <w:t xml:space="preserve">ng two new refundable payroll tax credits to obtain reimbursement for the costs of providing coronavirus-related leave to their employees, the </w:t>
      </w:r>
      <w:r>
        <w:t xml:space="preserve">U.S. </w:t>
      </w:r>
      <w:r w:rsidRPr="00B25E88">
        <w:t>Department of Labor (DOL) and</w:t>
      </w:r>
      <w:r>
        <w:t xml:space="preserve"> </w:t>
      </w:r>
      <w:r w:rsidRPr="00B25E88">
        <w:t xml:space="preserve">Internal Revenue Service (IRS) announced on March 20, 2020. </w:t>
      </w:r>
    </w:p>
    <w:p w14:paraId="0B8EEEC1" w14:textId="77777777" w:rsidR="00892FD1" w:rsidRDefault="009C1BF1" w:rsidP="00B25E88">
      <w:pPr>
        <w:pStyle w:val="BodyText"/>
      </w:pPr>
      <w:r w:rsidRPr="00B25E88">
        <w:t xml:space="preserve">This relief is provided under the </w:t>
      </w:r>
      <w:bookmarkStart w:id="2" w:name="_Hlk35860089"/>
      <w:r w:rsidRPr="00B25E88">
        <w:t>Families First Coronavirus Response Act</w:t>
      </w:r>
      <w:bookmarkEnd w:id="2"/>
      <w:r w:rsidRPr="00B25E88">
        <w:t xml:space="preserve"> (the Act), which was enacted on March 18, 2020. The Act provides funds for employers with fewer than 500 employees to provide paid leave, either for the</w:t>
      </w:r>
      <w:r>
        <w:t>ir</w:t>
      </w:r>
      <w:r w:rsidRPr="00B25E88">
        <w:t xml:space="preserve"> employees’ own health needs</w:t>
      </w:r>
      <w:r w:rsidRPr="00B25E88">
        <w:t xml:space="preserve"> or to care for</w:t>
      </w:r>
      <w:r>
        <w:t xml:space="preserve"> their</w:t>
      </w:r>
      <w:r w:rsidRPr="00B25E88">
        <w:t xml:space="preserve"> family members. The Act </w:t>
      </w:r>
      <w:r>
        <w:t>aims</w:t>
      </w:r>
      <w:r w:rsidRPr="00B25E88">
        <w:t xml:space="preserve"> to help employers keep workers on their payrolls while ensuring that workers are not forced to choose between their paychecks and the public health measures needed to combat the coronavirus (COVID-19). </w:t>
      </w:r>
    </w:p>
    <w:p w14:paraId="056A24BA" w14:textId="77777777" w:rsidR="00B25E88" w:rsidRPr="00B25E88" w:rsidRDefault="009C1BF1" w:rsidP="00B25E88">
      <w:pPr>
        <w:pStyle w:val="BodyText"/>
      </w:pPr>
      <w:r w:rsidRPr="00B25E88">
        <w:t>Th</w:t>
      </w:r>
      <w:r w:rsidR="00892FD1">
        <w:t>is</w:t>
      </w:r>
      <w:r w:rsidRPr="00B25E88">
        <w:t xml:space="preserve"> Compliance </w:t>
      </w:r>
      <w:r w:rsidR="00892FD1">
        <w:t>Bulletin provides</w:t>
      </w:r>
      <w:r w:rsidRPr="00B25E88">
        <w:t xml:space="preserve"> the </w:t>
      </w:r>
      <w:r w:rsidR="00892FD1">
        <w:t xml:space="preserve">DOL and IRS’ </w:t>
      </w:r>
      <w:r w:rsidRPr="00B25E88">
        <w:t xml:space="preserve">guidance. </w:t>
      </w:r>
    </w:p>
    <w:p w14:paraId="540FB967" w14:textId="77777777" w:rsidR="005A1F47" w:rsidRDefault="009C1BF1" w:rsidP="00994E35">
      <w:pPr>
        <w:pStyle w:val="BodyText"/>
        <w:ind w:right="270"/>
      </w:pPr>
      <w:r>
        <w:rPr>
          <w:noProof/>
        </w:rPr>
        <mc:AlternateContent>
          <mc:Choice Requires="wpg">
            <w:drawing>
              <wp:anchor distT="0" distB="0" distL="114300" distR="114300" simplePos="0" relativeHeight="251669504" behindDoc="0" locked="0" layoutInCell="1" allowOverlap="1" wp14:anchorId="055E75A4" wp14:editId="13D3D40C">
                <wp:simplePos x="0" y="0"/>
                <wp:positionH relativeFrom="column">
                  <wp:posOffset>4419600</wp:posOffset>
                </wp:positionH>
                <wp:positionV relativeFrom="page">
                  <wp:posOffset>6002655</wp:posOffset>
                </wp:positionV>
                <wp:extent cx="3331845" cy="367030"/>
                <wp:effectExtent l="0" t="0" r="1905" b="0"/>
                <wp:wrapNone/>
                <wp:docPr id="42" name="Group 42"/>
                <wp:cNvGraphicFramePr/>
                <a:graphic xmlns:a="http://schemas.openxmlformats.org/drawingml/2006/main">
                  <a:graphicData uri="http://schemas.microsoft.com/office/word/2010/wordprocessingGroup">
                    <wpg:wgp>
                      <wpg:cNvGrpSpPr/>
                      <wpg:grpSpPr>
                        <a:xfrm>
                          <a:off x="0" y="0"/>
                          <a:ext cx="3331845" cy="367030"/>
                          <a:chOff x="3801" y="0"/>
                          <a:chExt cx="3324242" cy="367029"/>
                        </a:xfrm>
                      </wpg:grpSpPr>
                      <pic:pic xmlns:pic="http://schemas.openxmlformats.org/drawingml/2006/picture">
                        <pic:nvPicPr>
                          <pic:cNvPr id="40" name="Picture 4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41" name="Text Box 41"/>
                        <wps:cNvSpPr txBox="1">
                          <a:spLocks noChangeArrowheads="1"/>
                        </wps:cNvSpPr>
                        <wps:spPr bwMode="auto">
                          <a:xfrm>
                            <a:off x="123290" y="20549"/>
                            <a:ext cx="2413000" cy="329565"/>
                          </a:xfrm>
                          <a:prstGeom prst="rect">
                            <a:avLst/>
                          </a:prstGeom>
                          <a:noFill/>
                          <a:ln w="9525">
                            <a:noFill/>
                            <a:miter lim="800000"/>
                            <a:headEnd/>
                            <a:tailEnd/>
                          </a:ln>
                        </wps:spPr>
                        <wps:txbx>
                          <w:txbxContent>
                            <w:p w14:paraId="31075A1B" w14:textId="77777777" w:rsidR="00E375D9" w:rsidRPr="00A8186B" w:rsidRDefault="009C1BF1" w:rsidP="00E375D9">
                              <w:pPr>
                                <w:pStyle w:val="SubHeader"/>
                                <w:rPr>
                                  <w:color w:val="FFFFFF" w:themeColor="background1"/>
                                  <w:sz w:val="32"/>
                                  <w:szCs w:val="32"/>
                                </w:rPr>
                              </w:pPr>
                              <w:r>
                                <w:rPr>
                                  <w:color w:val="FFFFFF" w:themeColor="background1"/>
                                  <w:sz w:val="32"/>
                                  <w:szCs w:val="32"/>
                                </w:rPr>
                                <w:t>Information Resources</w:t>
                              </w:r>
                            </w:p>
                          </w:txbxContent>
                        </wps:txbx>
                        <wps:bodyPr rot="0" vert="horz" wrap="square" anchor="t" anchorCtr="0"/>
                      </wps:wsp>
                    </wpg:wgp>
                  </a:graphicData>
                </a:graphic>
              </wp:anchor>
            </w:drawing>
          </mc:Choice>
          <mc:Fallback>
            <w:pict>
              <v:group id="Group 42" o:spid="_x0000_s1030" style="width:262.35pt;height:28.9pt;margin-top:472.65pt;margin-left:348pt;mso-position-vertical-relative:page;position:absolute;z-index:251670528" coordorigin="38,0" coordsize="33242,3670">
                <v:shape id="Picture 40" o:spid="_x0000_s1031" type="#_x0000_t75" style="width:33242;height:3670;left:38;mso-wrap-style:square;position:absolute;visibility:visible">
                  <v:imagedata r:id="rId9" o:title=""/>
                </v:shape>
                <v:shape id="Text Box 41" o:spid="_x0000_s1032" type="#_x0000_t202" style="width:24130;height:3296;left:1232;mso-wrap-style:square;position:absolute;top:205;visibility:visible;v-text-anchor:top" filled="f" stroked="f">
                  <v:textbox>
                    <w:txbxContent>
                      <w:p w:rsidR="00E375D9" w:rsidRPr="00A8186B" w:rsidP="00E375D9" w14:paraId="0D832558" w14:textId="77777777">
                        <w:pPr>
                          <w:pStyle w:val="SubHeader"/>
                          <w:rPr>
                            <w:color w:val="FFFFFF" w:themeColor="background1"/>
                            <w:sz w:val="32"/>
                            <w:szCs w:val="32"/>
                          </w:rPr>
                        </w:pPr>
                        <w:r>
                          <w:rPr>
                            <w:color w:val="FFFFFF" w:themeColor="background1"/>
                            <w:sz w:val="32"/>
                            <w:szCs w:val="32"/>
                          </w:rPr>
                          <w:t>Information Resources</w:t>
                        </w:r>
                      </w:p>
                    </w:txbxContent>
                  </v:textbox>
                </v:shape>
              </v:group>
            </w:pict>
          </mc:Fallback>
        </mc:AlternateContent>
      </w:r>
      <w:r w:rsidR="005A1F47">
        <w:rPr>
          <w:noProof/>
        </w:rPr>
        <mc:AlternateContent>
          <mc:Choice Requires="wpg">
            <w:drawing>
              <wp:anchor distT="0" distB="0" distL="114300" distR="114300" simplePos="0" relativeHeight="251665408" behindDoc="0" locked="0" layoutInCell="1" allowOverlap="1" wp14:anchorId="407A7E11" wp14:editId="3643245F">
                <wp:simplePos x="0" y="0"/>
                <wp:positionH relativeFrom="column">
                  <wp:posOffset>-448945</wp:posOffset>
                </wp:positionH>
                <wp:positionV relativeFrom="paragraph">
                  <wp:posOffset>125857</wp:posOffset>
                </wp:positionV>
                <wp:extent cx="3331845" cy="367030"/>
                <wp:effectExtent l="0" t="0" r="1905" b="0"/>
                <wp:wrapNone/>
                <wp:docPr id="36" name="Group 36"/>
                <wp:cNvGraphicFramePr/>
                <a:graphic xmlns:a="http://schemas.openxmlformats.org/drawingml/2006/main">
                  <a:graphicData uri="http://schemas.microsoft.com/office/word/2010/wordprocessingGroup">
                    <wpg:wgp>
                      <wpg:cNvGrpSpPr/>
                      <wpg:grpSpPr>
                        <a:xfrm>
                          <a:off x="0" y="0"/>
                          <a:ext cx="3331845" cy="367030"/>
                          <a:chOff x="15231" y="-19522"/>
                          <a:chExt cx="3324411" cy="367501"/>
                        </a:xfrm>
                      </wpg:grpSpPr>
                      <pic:pic xmlns:pic="http://schemas.openxmlformats.org/drawingml/2006/picture">
                        <pic:nvPicPr>
                          <pic:cNvPr id="33" name="Picture 3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31" y="-19522"/>
                            <a:ext cx="3324411" cy="367501"/>
                          </a:xfrm>
                          <a:prstGeom prst="rect">
                            <a:avLst/>
                          </a:prstGeom>
                        </pic:spPr>
                      </pic:pic>
                      <wps:wsp>
                        <wps:cNvPr id="35" name="Text Box 35"/>
                        <wps:cNvSpPr txBox="1">
                          <a:spLocks noChangeArrowheads="1"/>
                        </wps:cNvSpPr>
                        <wps:spPr bwMode="auto">
                          <a:xfrm>
                            <a:off x="377190" y="0"/>
                            <a:ext cx="2413000" cy="329565"/>
                          </a:xfrm>
                          <a:prstGeom prst="rect">
                            <a:avLst/>
                          </a:prstGeom>
                          <a:noFill/>
                          <a:ln w="9525">
                            <a:noFill/>
                            <a:miter lim="800000"/>
                            <a:headEnd/>
                            <a:tailEnd/>
                          </a:ln>
                        </wps:spPr>
                        <wps:txbx>
                          <w:txbxContent>
                            <w:p w14:paraId="04D1E93B" w14:textId="77777777" w:rsidR="008B3699" w:rsidRPr="00A8186B" w:rsidRDefault="009C1BF1" w:rsidP="008B3699">
                              <w:pPr>
                                <w:pStyle w:val="SubHeader"/>
                                <w:rPr>
                                  <w:color w:val="FFFFFF" w:themeColor="background1"/>
                                  <w:sz w:val="32"/>
                                  <w:szCs w:val="32"/>
                                </w:rPr>
                              </w:pPr>
                              <w:r>
                                <w:rPr>
                                  <w:color w:val="FFFFFF" w:themeColor="background1"/>
                                  <w:sz w:val="32"/>
                                  <w:szCs w:val="32"/>
                                </w:rPr>
                                <w:t>Action Steps</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oup 36" o:spid="_x0000_s1033" style="width:262.35pt;height:28.9pt;margin-top:9.9pt;margin-left:-35.35pt;mso-height-relative:margin;mso-width-relative:margin;position:absolute;z-index:251666432" coordorigin="152,-195" coordsize="33244,3675">
                <v:shape id="Picture 33" o:spid="_x0000_s1034" type="#_x0000_t75" style="width:33244;height:3674;left:152;mso-wrap-style:square;position:absolute;top:-195;visibility:visible">
                  <v:imagedata r:id="rId9" o:title=""/>
                </v:shape>
                <v:shape id="Text Box 35" o:spid="_x0000_s1035" type="#_x0000_t202" style="width:24130;height:3295;left:3771;mso-wrap-style:square;position:absolute;visibility:visible;v-text-anchor:top" filled="f" stroked="f">
                  <v:textbox>
                    <w:txbxContent>
                      <w:p w:rsidR="008B3699" w:rsidRPr="00A8186B" w:rsidP="008B3699" w14:paraId="2FA3CA37" w14:textId="77777777">
                        <w:pPr>
                          <w:pStyle w:val="SubHeader"/>
                          <w:rPr>
                            <w:color w:val="FFFFFF" w:themeColor="background1"/>
                            <w:sz w:val="32"/>
                            <w:szCs w:val="32"/>
                          </w:rPr>
                        </w:pPr>
                        <w:r>
                          <w:rPr>
                            <w:color w:val="FFFFFF" w:themeColor="background1"/>
                            <w:sz w:val="32"/>
                            <w:szCs w:val="32"/>
                          </w:rPr>
                          <w:t>Action Steps</w:t>
                        </w:r>
                      </w:p>
                    </w:txbxContent>
                  </v:textbox>
                </v:shape>
              </v:group>
            </w:pict>
          </mc:Fallback>
        </mc:AlternateContent>
      </w:r>
    </w:p>
    <w:p w14:paraId="7A488958" w14:textId="77777777" w:rsidR="001B200A" w:rsidRDefault="001B200A" w:rsidP="00150559">
      <w:pPr>
        <w:pStyle w:val="Xbox"/>
        <w:numPr>
          <w:ilvl w:val="0"/>
          <w:numId w:val="0"/>
        </w:numPr>
        <w:ind w:right="270"/>
      </w:pPr>
    </w:p>
    <w:p w14:paraId="4BC9E882" w14:textId="77777777" w:rsidR="00D046CF" w:rsidRDefault="009C1BF1" w:rsidP="00E52110">
      <w:pPr>
        <w:pStyle w:val="Xbox"/>
        <w:numPr>
          <w:ilvl w:val="0"/>
          <w:numId w:val="0"/>
        </w:numPr>
        <w:ind w:left="540" w:right="270"/>
      </w:pPr>
      <w:r>
        <w:rPr>
          <w:noProof/>
        </w:rPr>
        <mc:AlternateContent>
          <mc:Choice Requires="wps">
            <w:drawing>
              <wp:anchor distT="45720" distB="45720" distL="114300" distR="114300" simplePos="0" relativeHeight="251661312" behindDoc="0" locked="0" layoutInCell="1" allowOverlap="1" wp14:anchorId="48D73451" wp14:editId="02FEDF2C">
                <wp:simplePos x="0" y="0"/>
                <wp:positionH relativeFrom="column">
                  <wp:posOffset>4561205</wp:posOffset>
                </wp:positionH>
                <wp:positionV relativeFrom="page">
                  <wp:posOffset>6418580</wp:posOffset>
                </wp:positionV>
                <wp:extent cx="2413000" cy="191325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913255"/>
                        </a:xfrm>
                        <a:prstGeom prst="rect">
                          <a:avLst/>
                        </a:prstGeom>
                        <a:noFill/>
                        <a:ln w="9525">
                          <a:noFill/>
                          <a:miter lim="800000"/>
                          <a:headEnd/>
                          <a:tailEnd/>
                        </a:ln>
                      </wps:spPr>
                      <wps:txbx>
                        <w:txbxContent>
                          <w:p w14:paraId="3C990EB7" w14:textId="77777777" w:rsidR="00FB3AC0" w:rsidRDefault="009C1BF1" w:rsidP="00FB3AC0">
                            <w:pPr>
                              <w:pStyle w:val="SubHeader"/>
                            </w:pPr>
                            <w:r>
                              <w:t>IRS Guidance</w:t>
                            </w:r>
                          </w:p>
                          <w:p w14:paraId="56D6693C" w14:textId="77777777" w:rsidR="00FB3AC0" w:rsidRDefault="009C1BF1" w:rsidP="00FB3AC0">
                            <w:pPr>
                              <w:pStyle w:val="BodyText"/>
                            </w:pPr>
                            <w:r>
                              <w:t xml:space="preserve">The IRS guidance in this document is available </w:t>
                            </w:r>
                            <w:hyperlink r:id="rId10" w:history="1">
                              <w:r w:rsidRPr="00FB3AC0">
                                <w:rPr>
                                  <w:rStyle w:val="Hyperlink"/>
                                </w:rPr>
                                <w:t>here</w:t>
                              </w:r>
                            </w:hyperlink>
                            <w:r>
                              <w:t xml:space="preserve">. </w:t>
                            </w:r>
                          </w:p>
                          <w:p w14:paraId="7A90052D" w14:textId="77777777" w:rsidR="00FB3AC0" w:rsidRPr="002B1ACB" w:rsidRDefault="009C1BF1" w:rsidP="00FB3AC0">
                            <w:pPr>
                              <w:pStyle w:val="SubHeader"/>
                            </w:pPr>
                            <w:r>
                              <w:t xml:space="preserve">COVID-19 </w:t>
                            </w:r>
                            <w:r>
                              <w:t xml:space="preserve">Guidance </w:t>
                            </w:r>
                          </w:p>
                          <w:p w14:paraId="02237C26" w14:textId="77777777" w:rsidR="00EC05C9" w:rsidRDefault="009C1BF1" w:rsidP="00EC05C9">
                            <w:pPr>
                              <w:pStyle w:val="SubHeader"/>
                              <w:rPr>
                                <w:b w:val="0"/>
                                <w:color w:val="595959"/>
                                <w:sz w:val="22"/>
                                <w:szCs w:val="20"/>
                              </w:rPr>
                            </w:pPr>
                            <w:hyperlink r:id="rId11" w:history="1">
                              <w:r w:rsidR="00FB3AC0">
                                <w:rPr>
                                  <w:rStyle w:val="Hyperlink"/>
                                  <w:b w:val="0"/>
                                  <w:sz w:val="22"/>
                                  <w:szCs w:val="20"/>
                                </w:rPr>
                                <w:t>CDC's COVID-19 Situation Summary</w:t>
                              </w:r>
                            </w:hyperlink>
                          </w:p>
                          <w:p w14:paraId="265E6764" w14:textId="77777777" w:rsidR="00EC05C9" w:rsidRDefault="009C1BF1" w:rsidP="00EC05C9">
                            <w:pPr>
                              <w:pStyle w:val="BodyText"/>
                            </w:pPr>
                            <w:hyperlink r:id="rId12" w:history="1">
                              <w:r w:rsidR="00FB3AC0">
                                <w:rPr>
                                  <w:rStyle w:val="Hyperlink"/>
                                </w:rPr>
                                <w:t>WHO's COVID-19 advice for the public</w:t>
                              </w:r>
                            </w:hyperlink>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90pt;height:150.65pt;margin-top:505.4pt;margin-left:359.15pt;mso-height-percent:0;mso-height-relative:margin;mso-position-vertical-relative:page;mso-width-percent:0;mso-width-relative:margin;mso-wrap-distance-bottom:3.6pt;mso-wrap-distance-left:9pt;mso-wrap-distance-right:9pt;mso-wrap-distance-top:3.6pt;mso-wrap-style:square;position:absolute;visibility:visible;v-text-anchor:top;z-index:251662336" filled="f" stroked="f">
                <v:textbox>
                  <w:txbxContent>
                    <w:p w:rsidR="00FB3AC0" w:rsidP="00FB3AC0" w14:paraId="4F4921B0" w14:textId="479828AA">
                      <w:pPr>
                        <w:pStyle w:val="SubHeader"/>
                      </w:pPr>
                      <w:r>
                        <w:t>IRS Guidance</w:t>
                      </w:r>
                    </w:p>
                    <w:p w:rsidR="00FB3AC0" w:rsidP="00FB3AC0" w14:paraId="439E4790" w14:textId="2CAD1231">
                      <w:pPr>
                        <w:pStyle w:val="BodyText"/>
                      </w:pPr>
                      <w:r>
                        <w:t xml:space="preserve">The IRS guidance in this document is available </w:t>
                      </w:r>
                      <w:r>
                        <w:fldChar w:fldCharType="begin"/>
                      </w:r>
                      <w:r>
                        <w:instrText xml:space="preserve"> HYPERLINK "https://www.irs.gov/newsroom/treasury-irs-and-labor-announce-plan-to-implement-coronavirus-related-paid-leave-for-workers-and-tax-credits-for-small-and-midsize-businesses-to-swiftly-recover-the-cost-of-providing-coronavirus" </w:instrText>
                      </w:r>
                      <w:r>
                        <w:fldChar w:fldCharType="separate"/>
                      </w:r>
                      <w:r w:rsidRPr="00FB3AC0">
                        <w:rPr>
                          <w:rStyle w:val="Hyperlink"/>
                        </w:rPr>
                        <w:t>her</w:t>
                      </w:r>
                      <w:r w:rsidRPr="00FB3AC0">
                        <w:rPr>
                          <w:rStyle w:val="Hyperlink"/>
                        </w:rPr>
                        <w:t>e</w:t>
                      </w:r>
                      <w:r>
                        <w:fldChar w:fldCharType="end"/>
                      </w:r>
                      <w:r>
                        <w:t xml:space="preserve">. </w:t>
                      </w:r>
                    </w:p>
                    <w:p w:rsidR="00FB3AC0" w:rsidRPr="002B1ACB" w:rsidP="00FB3AC0" w14:paraId="069FBE91" w14:textId="4CAFC135">
                      <w:pPr>
                        <w:pStyle w:val="SubHeader"/>
                      </w:pPr>
                      <w:r>
                        <w:t xml:space="preserve">COVID-19 Guidance </w:t>
                      </w:r>
                    </w:p>
                    <w:p w:rsidR="00EC05C9" w:rsidP="00EC05C9" w14:paraId="6853E7E2" w14:textId="505A9DC3">
                      <w:pPr>
                        <w:pStyle w:val="SubHeader"/>
                        <w:rPr>
                          <w:b w:val="0"/>
                          <w:color w:val="595959"/>
                          <w:sz w:val="22"/>
                          <w:szCs w:val="20"/>
                        </w:rPr>
                      </w:pPr>
                      <w:r>
                        <w:fldChar w:fldCharType="begin"/>
                      </w:r>
                      <w:r>
                        <w:instrText xml:space="preserve"> HYPERLINK "https://www.cdc.gov/coronavirus/2019-ncov/summary.html" </w:instrText>
                      </w:r>
                      <w:r>
                        <w:fldChar w:fldCharType="separate"/>
                      </w:r>
                      <w:r w:rsidR="00FB3AC0">
                        <w:rPr>
                          <w:rStyle w:val="Hyperlink"/>
                          <w:b w:val="0"/>
                          <w:sz w:val="22"/>
                          <w:szCs w:val="20"/>
                        </w:rPr>
                        <w:t>CDC's COVID</w:t>
                      </w:r>
                      <w:r w:rsidR="00FB3AC0">
                        <w:rPr>
                          <w:rStyle w:val="Hyperlink"/>
                          <w:b w:val="0"/>
                          <w:sz w:val="22"/>
                          <w:szCs w:val="20"/>
                        </w:rPr>
                        <w:t>-</w:t>
                      </w:r>
                      <w:r w:rsidR="00FB3AC0">
                        <w:rPr>
                          <w:rStyle w:val="Hyperlink"/>
                          <w:b w:val="0"/>
                          <w:sz w:val="22"/>
                          <w:szCs w:val="20"/>
                        </w:rPr>
                        <w:t>19 Situation Summary</w:t>
                      </w:r>
                      <w:r>
                        <w:fldChar w:fldCharType="end"/>
                      </w:r>
                    </w:p>
                    <w:p w:rsidR="00EC05C9" w:rsidP="00EC05C9" w14:paraId="6C32C3C4" w14:textId="23E8E2E3">
                      <w:pPr>
                        <w:pStyle w:val="BodyText"/>
                      </w:pPr>
                      <w:r>
                        <w:fldChar w:fldCharType="begin"/>
                      </w:r>
                      <w:r>
                        <w:instrText xml:space="preserve"> HYPERLINK "https://www.who.int/emergencies/diseases/novel-coronavirus-2019/advice-for-public" </w:instrText>
                      </w:r>
                      <w:r>
                        <w:fldChar w:fldCharType="separate"/>
                      </w:r>
                      <w:r w:rsidR="00FB3AC0">
                        <w:rPr>
                          <w:rStyle w:val="Hyperlink"/>
                        </w:rPr>
                        <w:t>WHO's C</w:t>
                      </w:r>
                      <w:r w:rsidR="00FB3AC0">
                        <w:rPr>
                          <w:rStyle w:val="Hyperlink"/>
                        </w:rPr>
                        <w:t>O</w:t>
                      </w:r>
                      <w:r w:rsidR="00FB3AC0">
                        <w:rPr>
                          <w:rStyle w:val="Hyperlink"/>
                        </w:rPr>
                        <w:t>VID-19 advice for the public</w:t>
                      </w:r>
                      <w:r>
                        <w:fldChar w:fldCharType="end"/>
                      </w:r>
                    </w:p>
                  </w:txbxContent>
                </v:textbox>
                <w10:wrap type="square"/>
              </v:shape>
            </w:pict>
          </mc:Fallback>
        </mc:AlternateContent>
      </w:r>
    </w:p>
    <w:p w14:paraId="1BE9A0AA" w14:textId="77777777" w:rsidR="002B1ACB" w:rsidRPr="00CD45F4" w:rsidRDefault="009C1BF1" w:rsidP="00CD45F4">
      <w:pPr>
        <w:pStyle w:val="Body-Text"/>
        <w:rPr>
          <w:rStyle w:val="BodyTextChar"/>
          <w:rFonts w:eastAsia="Calibri"/>
          <w:sz w:val="22"/>
          <w:szCs w:val="22"/>
        </w:rPr>
      </w:pPr>
      <w:r>
        <w:rPr>
          <w:rStyle w:val="BodyTextChar"/>
          <w:rFonts w:eastAsia="Calibri"/>
          <w:sz w:val="22"/>
        </w:rPr>
        <w:t>Employers should become familiar with their obligations to provide paid leave to employees under the Act and</w:t>
      </w:r>
      <w:r w:rsidR="00D940C8">
        <w:rPr>
          <w:rStyle w:val="BodyTextChar"/>
          <w:rFonts w:eastAsia="Calibri"/>
          <w:sz w:val="22"/>
        </w:rPr>
        <w:t xml:space="preserve"> </w:t>
      </w:r>
      <w:r>
        <w:rPr>
          <w:rStyle w:val="BodyTextChar"/>
          <w:rFonts w:eastAsia="Calibri"/>
          <w:sz w:val="22"/>
        </w:rPr>
        <w:t xml:space="preserve">with the IRS’ guidance regarding tax credits </w:t>
      </w:r>
      <w:r w:rsidR="00D940C8">
        <w:rPr>
          <w:rStyle w:val="BodyTextChar"/>
          <w:rFonts w:eastAsia="Calibri"/>
          <w:sz w:val="22"/>
        </w:rPr>
        <w:t>for</w:t>
      </w:r>
      <w:r>
        <w:rPr>
          <w:rStyle w:val="BodyTextChar"/>
          <w:rFonts w:eastAsia="Calibri"/>
          <w:sz w:val="22"/>
        </w:rPr>
        <w:t xml:space="preserve"> reimburse</w:t>
      </w:r>
      <w:r w:rsidR="00D940C8">
        <w:rPr>
          <w:rStyle w:val="BodyTextChar"/>
          <w:rFonts w:eastAsia="Calibri"/>
          <w:sz w:val="22"/>
        </w:rPr>
        <w:t xml:space="preserve">ment. Employers should also monitor the IRS’  </w:t>
      </w:r>
      <w:hyperlink r:id="rId13" w:tooltip="Coronavirus Tax Relief" w:history="1">
        <w:r w:rsidR="00D940C8" w:rsidRPr="00D940C8">
          <w:rPr>
            <w:rStyle w:val="Hyperlink"/>
            <w:rFonts w:cs="Arial"/>
            <w:sz w:val="22"/>
            <w:szCs w:val="20"/>
          </w:rPr>
          <w:t>Coronavirus Tax Relief</w:t>
        </w:r>
      </w:hyperlink>
      <w:r w:rsidR="00D940C8" w:rsidRPr="00D940C8">
        <w:rPr>
          <w:rFonts w:cs="Arial"/>
          <w:sz w:val="22"/>
          <w:szCs w:val="20"/>
        </w:rPr>
        <w:t> </w:t>
      </w:r>
      <w:r w:rsidR="00D940C8">
        <w:rPr>
          <w:rFonts w:cs="Arial"/>
          <w:sz w:val="22"/>
          <w:szCs w:val="20"/>
        </w:rPr>
        <w:t xml:space="preserve">website for additional guidance, which is expected to be released in the near future, and: </w:t>
      </w:r>
    </w:p>
    <w:p w14:paraId="6CC560A3" w14:textId="77777777" w:rsidR="002B1ACB" w:rsidRDefault="009C1BF1" w:rsidP="00CD45F4">
      <w:pPr>
        <w:pStyle w:val="BulletListText"/>
      </w:pPr>
      <w:r>
        <w:t>C</w:t>
      </w:r>
      <w:r w:rsidRPr="00EB25B9">
        <w:t>losely monitor the CDC</w:t>
      </w:r>
      <w:r>
        <w:t xml:space="preserve">, </w:t>
      </w:r>
      <w:r w:rsidRPr="00EB25B9">
        <w:t>WHO</w:t>
      </w:r>
      <w:r>
        <w:t xml:space="preserve"> and state and local public health department </w:t>
      </w:r>
      <w:r w:rsidRPr="00EB25B9">
        <w:t>websites</w:t>
      </w:r>
      <w:r w:rsidR="00CD45F4">
        <w:t xml:space="preserve"> for information on the status of </w:t>
      </w:r>
      <w:r w:rsidR="00D612BE">
        <w:t>the coronavirus</w:t>
      </w:r>
      <w:r w:rsidR="00D940C8">
        <w:t xml:space="preserve">; and </w:t>
      </w:r>
    </w:p>
    <w:p w14:paraId="6B1946F9" w14:textId="77777777" w:rsidR="00A357CD" w:rsidRPr="00D612BE" w:rsidRDefault="009C1BF1" w:rsidP="00EC4F25">
      <w:pPr>
        <w:pStyle w:val="BulletListText"/>
        <w:ind w:right="270"/>
        <w:rPr>
          <w:b/>
          <w:color w:val="FFFFFF" w:themeColor="background1"/>
        </w:rPr>
        <w:sectPr w:rsidR="00A357CD" w:rsidRPr="00D612BE" w:rsidSect="008A7E71">
          <w:headerReference w:type="default" r:id="rId14"/>
          <w:footerReference w:type="default" r:id="rId15"/>
          <w:pgSz w:w="12240" w:h="15840"/>
          <w:pgMar w:top="3946" w:right="4680" w:bottom="1440" w:left="720" w:header="720" w:footer="720" w:gutter="0"/>
          <w:cols w:space="720"/>
          <w:docGrid w:linePitch="360"/>
        </w:sectPr>
      </w:pPr>
      <w:r>
        <w:t>Consider measures that can help prevent the spread of illness, such as a</w:t>
      </w:r>
      <w:r w:rsidR="002B1ACB">
        <w:t>llow</w:t>
      </w:r>
      <w:r>
        <w:t>ing</w:t>
      </w:r>
      <w:r w:rsidR="002B1ACB">
        <w:t xml:space="preserve"> employees flexible work options</w:t>
      </w:r>
      <w:r w:rsidR="00E6115F">
        <w:rPr>
          <w:noProof/>
        </w:rPr>
        <mc:AlternateContent>
          <mc:Choice Requires="wps">
            <w:drawing>
              <wp:anchor distT="0" distB="0" distL="114300" distR="114300" simplePos="0" relativeHeight="251664384" behindDoc="0" locked="0" layoutInCell="1" allowOverlap="1" wp14:anchorId="06C44300" wp14:editId="324B0A54">
                <wp:simplePos x="0" y="0"/>
                <wp:positionH relativeFrom="margin">
                  <wp:posOffset>-85725</wp:posOffset>
                </wp:positionH>
                <wp:positionV relativeFrom="bottomMargin">
                  <wp:align>top</wp:align>
                </wp:positionV>
                <wp:extent cx="4344670" cy="3200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4344670" cy="320040"/>
                        </a:xfrm>
                        <a:prstGeom prst="rect">
                          <a:avLst/>
                        </a:prstGeom>
                        <a:noFill/>
                        <a:ln w="6350">
                          <a:noFill/>
                        </a:ln>
                        <a:effectLst/>
                      </wps:spPr>
                      <wps:txbx>
                        <w:txbxContent>
                          <w:p w14:paraId="400723D7" w14:textId="77777777" w:rsidR="00E6115F" w:rsidRPr="00C10371" w:rsidRDefault="009C1BF1" w:rsidP="00E6115F">
                            <w:pPr>
                              <w:pStyle w:val="Header"/>
                              <w:rPr>
                                <w:color w:val="6F61B0"/>
                                <w:sz w:val="20"/>
                                <w:szCs w:val="20"/>
                              </w:rPr>
                            </w:pPr>
                            <w:r w:rsidRPr="00A9581B">
                              <w:rPr>
                                <w:color w:val="595959" w:themeColor="text1" w:themeTint="A6"/>
                                <w:sz w:val="20"/>
                                <w:szCs w:val="20"/>
                              </w:rPr>
                              <w:t xml:space="preserve">Provided to you by </w:t>
                            </w:r>
                            <w:r w:rsidRPr="00C10371">
                              <w:rPr>
                                <w:b/>
                                <w:color w:val="6F61B0"/>
                                <w:sz w:val="20"/>
                                <w:szCs w:val="20"/>
                              </w:rPr>
                              <w:t>Cleary Insurance, Inc.</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width:342.1pt;height:25.2pt;margin-top:0;margin-left:-6.75pt;mso-height-percent:0;mso-height-relative:margin;mso-position-horizontal-relative:margin;mso-position-vertical:top;mso-position-vertical-relative:bottom-margin-area;mso-width-percent:0;mso-width-relative:margin;mso-wrap-distance-bottom:0;mso-wrap-distance-left:9pt;mso-wrap-distance-right:9pt;mso-wrap-distance-top:0;position:absolute;v-text-anchor:top;z-index:251663360" filled="f" fillcolor="this" stroked="f" strokeweight="0.5pt">
                <v:textbox>
                  <w:txbxContent>
                    <w:p w:rsidR="00E6115F" w:rsidRPr="00C10371" w:rsidP="00E6115F" w14:paraId="716A2FD1" w14:textId="77777777">
                      <w:pPr>
                        <w:pStyle w:val="Header"/>
                        <w:rPr>
                          <w:color w:val="6F61B0"/>
                          <w:sz w:val="20"/>
                          <w:szCs w:val="20"/>
                        </w:rPr>
                      </w:pPr>
                      <w:r w:rsidRPr="00A9581B">
                        <w:rPr>
                          <w:color w:val="595959" w:themeColor="text1" w:themeTint="A6"/>
                          <w:sz w:val="20"/>
                          <w:szCs w:val="20"/>
                        </w:rPr>
                        <w:t xml:space="preserve">Provided to you by </w:t>
                      </w:r>
                      <w:r w:rsidRPr="00C10371">
                        <w:rPr>
                          <w:b/>
                          <w:color w:val="6F61B0"/>
                          <w:sz w:val="20"/>
                          <w:szCs w:val="20"/>
                        </w:rPr>
                        <w:t>Cleary Insurance, Inc.</w:t>
                      </w:r>
                    </w:p>
                  </w:txbxContent>
                </v:textbox>
                <w10:wrap anchorx="margin"/>
              </v:shape>
            </w:pict>
          </mc:Fallback>
        </mc:AlternateContent>
      </w:r>
      <w:r w:rsidR="00CD121E">
        <w:t xml:space="preserve"> like working from home</w:t>
      </w:r>
      <w:r>
        <w:t xml:space="preserve">. </w:t>
      </w:r>
      <w:r w:rsidR="008A7E71" w:rsidRPr="00D612BE">
        <w:rPr>
          <w:b/>
          <w:color w:val="FFFFFF" w:themeColor="background1"/>
        </w:rPr>
        <w:t xml:space="preserve"> are enforced.</w:t>
      </w:r>
      <w:r w:rsidRPr="00D612BE">
        <w:rPr>
          <w:b/>
          <w:noProof/>
          <w:color w:val="FFFFFF" w:themeColor="background1"/>
        </w:rPr>
        <w:t xml:space="preserve"> </w:t>
      </w:r>
    </w:p>
    <w:p w14:paraId="43C49EBD" w14:textId="77777777" w:rsidR="00B25E88" w:rsidRPr="00B25E88" w:rsidRDefault="009C1BF1" w:rsidP="00892FD1">
      <w:pPr>
        <w:pStyle w:val="SubHeader"/>
        <w:rPr>
          <w:bCs/>
          <w:color w:val="595959"/>
          <w:szCs w:val="20"/>
        </w:rPr>
      </w:pPr>
      <w:r>
        <w:lastRenderedPageBreak/>
        <w:t>Key Takeaways</w:t>
      </w:r>
    </w:p>
    <w:p w14:paraId="690AA23B" w14:textId="77777777" w:rsidR="00B25E88" w:rsidRPr="00B25E88" w:rsidRDefault="009C1BF1" w:rsidP="00C30513">
      <w:pPr>
        <w:pStyle w:val="Heading6"/>
        <w:rPr>
          <w:rFonts w:eastAsia="Times New Roman"/>
        </w:rPr>
      </w:pPr>
      <w:r w:rsidRPr="00B25E88">
        <w:rPr>
          <w:rFonts w:eastAsia="Times New Roman"/>
        </w:rPr>
        <w:t>Paid Sick Leave for Workers</w:t>
      </w:r>
    </w:p>
    <w:p w14:paraId="57FEAF03" w14:textId="77777777" w:rsidR="00B25E88" w:rsidRPr="00B25E88" w:rsidRDefault="009C1BF1" w:rsidP="00892FD1">
      <w:pPr>
        <w:pStyle w:val="BulletListText"/>
      </w:pPr>
      <w:r w:rsidRPr="00B25E88">
        <w:t>For COVID-19 related reasons, employees receive up to 80 hours of paid sick leave and expanded paid child care leave when employees' children's schools are closed or child c</w:t>
      </w:r>
      <w:r w:rsidRPr="00B25E88">
        <w:t>are providers are unavailable.</w:t>
      </w:r>
    </w:p>
    <w:p w14:paraId="608CF069" w14:textId="77777777" w:rsidR="00B25E88" w:rsidRPr="00B25E88" w:rsidRDefault="009C1BF1" w:rsidP="00C30513">
      <w:pPr>
        <w:pStyle w:val="Heading6"/>
        <w:rPr>
          <w:rFonts w:eastAsia="Times New Roman"/>
        </w:rPr>
      </w:pPr>
      <w:r w:rsidRPr="00B25E88">
        <w:rPr>
          <w:rFonts w:eastAsia="Times New Roman"/>
        </w:rPr>
        <w:t>Complete Coverage</w:t>
      </w:r>
    </w:p>
    <w:p w14:paraId="19EFE2AF" w14:textId="77777777" w:rsidR="00B25E88" w:rsidRPr="00B25E88" w:rsidRDefault="009C1BF1" w:rsidP="00892FD1">
      <w:pPr>
        <w:pStyle w:val="BulletListText"/>
      </w:pPr>
      <w:r w:rsidRPr="00B25E88">
        <w:t xml:space="preserve">Employers </w:t>
      </w:r>
      <w:r w:rsidR="00C30513">
        <w:t xml:space="preserve">may </w:t>
      </w:r>
      <w:r w:rsidRPr="00B25E88">
        <w:t>receive 100% reimbursement for paid leave under the Act.</w:t>
      </w:r>
    </w:p>
    <w:p w14:paraId="22D814B0" w14:textId="77777777" w:rsidR="00B25E88" w:rsidRPr="00B25E88" w:rsidRDefault="009C1BF1" w:rsidP="00892FD1">
      <w:pPr>
        <w:pStyle w:val="BulletListText"/>
      </w:pPr>
      <w:r w:rsidRPr="00B25E88">
        <w:t>Health insurance costs are also included in the credit.</w:t>
      </w:r>
    </w:p>
    <w:p w14:paraId="569E77DB" w14:textId="77777777" w:rsidR="00B25E88" w:rsidRPr="00B25E88" w:rsidRDefault="009C1BF1" w:rsidP="00892FD1">
      <w:pPr>
        <w:pStyle w:val="BulletListText"/>
      </w:pPr>
      <w:r w:rsidRPr="00B25E88">
        <w:t>Employers face no payroll tax liability.</w:t>
      </w:r>
    </w:p>
    <w:p w14:paraId="1868F72F" w14:textId="77777777" w:rsidR="00B25E88" w:rsidRPr="00B25E88" w:rsidRDefault="009C1BF1" w:rsidP="00892FD1">
      <w:pPr>
        <w:pStyle w:val="BulletListText"/>
      </w:pPr>
      <w:r w:rsidRPr="00B25E88">
        <w:t xml:space="preserve">Self-employed individuals </w:t>
      </w:r>
      <w:r w:rsidR="00C30513">
        <w:t xml:space="preserve">may </w:t>
      </w:r>
      <w:r w:rsidRPr="00B25E88">
        <w:t>receive a</w:t>
      </w:r>
      <w:r w:rsidRPr="00B25E88">
        <w:t>n equivalent credit.</w:t>
      </w:r>
    </w:p>
    <w:p w14:paraId="0DDF8BC3" w14:textId="77777777" w:rsidR="00B25E88" w:rsidRPr="00B25E88" w:rsidRDefault="009C1BF1" w:rsidP="00C30513">
      <w:pPr>
        <w:pStyle w:val="Heading6"/>
        <w:rPr>
          <w:rFonts w:eastAsia="Times New Roman"/>
        </w:rPr>
      </w:pPr>
      <w:r w:rsidRPr="00B25E88">
        <w:rPr>
          <w:rFonts w:eastAsia="Times New Roman"/>
        </w:rPr>
        <w:t>Fast Funds</w:t>
      </w:r>
    </w:p>
    <w:p w14:paraId="54016878" w14:textId="77777777" w:rsidR="00B25E88" w:rsidRPr="00B25E88" w:rsidRDefault="009C1BF1" w:rsidP="00892FD1">
      <w:pPr>
        <w:pStyle w:val="BulletListText"/>
      </w:pPr>
      <w:r w:rsidRPr="00B25E88">
        <w:t xml:space="preserve">Reimbursement </w:t>
      </w:r>
      <w:r w:rsidR="00C30513">
        <w:t xml:space="preserve">is intended to </w:t>
      </w:r>
      <w:r w:rsidRPr="00B25E88">
        <w:t>be quick and easy to obtain.</w:t>
      </w:r>
    </w:p>
    <w:p w14:paraId="55119903" w14:textId="77777777" w:rsidR="00B25E88" w:rsidRPr="00B25E88" w:rsidRDefault="009C1BF1" w:rsidP="00892FD1">
      <w:pPr>
        <w:pStyle w:val="BulletListText"/>
      </w:pPr>
      <w:r w:rsidRPr="00B25E88">
        <w:t>An immediate dollar-for-dollar tax offset against payroll taxes will be provided</w:t>
      </w:r>
      <w:r w:rsidR="00C30513">
        <w:t>.</w:t>
      </w:r>
    </w:p>
    <w:p w14:paraId="1F27E4A1" w14:textId="77777777" w:rsidR="00B25E88" w:rsidRPr="00B25E88" w:rsidRDefault="009C1BF1" w:rsidP="00892FD1">
      <w:pPr>
        <w:pStyle w:val="BulletListText"/>
      </w:pPr>
      <w:r w:rsidRPr="00B25E88">
        <w:t xml:space="preserve">Where a refund is owed, the IRS </w:t>
      </w:r>
      <w:r w:rsidR="00C30513">
        <w:t>intends to</w:t>
      </w:r>
      <w:r w:rsidRPr="00B25E88">
        <w:t xml:space="preserve"> send the refund as quickly as possible.</w:t>
      </w:r>
    </w:p>
    <w:p w14:paraId="587AB47A" w14:textId="77777777" w:rsidR="00B25E88" w:rsidRPr="00B25E88" w:rsidRDefault="009C1BF1" w:rsidP="00C30513">
      <w:pPr>
        <w:pStyle w:val="Heading6"/>
        <w:rPr>
          <w:rFonts w:eastAsia="Times New Roman"/>
        </w:rPr>
      </w:pPr>
      <w:r w:rsidRPr="00B25E88">
        <w:rPr>
          <w:rFonts w:eastAsia="Times New Roman"/>
        </w:rPr>
        <w:t>S</w:t>
      </w:r>
      <w:r w:rsidRPr="00B25E88">
        <w:rPr>
          <w:rFonts w:eastAsia="Times New Roman"/>
        </w:rPr>
        <w:t>mall Business Protection</w:t>
      </w:r>
    </w:p>
    <w:p w14:paraId="766A8ACD" w14:textId="77777777" w:rsidR="00B25E88" w:rsidRPr="00B25E88" w:rsidRDefault="009C1BF1" w:rsidP="00C30513">
      <w:pPr>
        <w:pStyle w:val="BulletListText"/>
      </w:pPr>
      <w:r w:rsidRPr="00B25E88">
        <w:t xml:space="preserve">Employers with fewer than 50 employees </w:t>
      </w:r>
      <w:r w:rsidR="00203908">
        <w:t>may be</w:t>
      </w:r>
      <w:r w:rsidRPr="00B25E88">
        <w:t xml:space="preserve"> eligible for an exemption from the requirements to provide leave to care for a child whose school is closed, or</w:t>
      </w:r>
      <w:r w:rsidR="00203908">
        <w:t xml:space="preserve"> because</w:t>
      </w:r>
      <w:r w:rsidRPr="00B25E88">
        <w:t xml:space="preserve"> child care is unavailable in cases</w:t>
      </w:r>
      <w:r w:rsidR="00203908">
        <w:t xml:space="preserve">, if </w:t>
      </w:r>
      <w:r w:rsidRPr="00B25E88">
        <w:t xml:space="preserve">viability of </w:t>
      </w:r>
      <w:r w:rsidR="00203908">
        <w:t>their</w:t>
      </w:r>
      <w:r w:rsidRPr="00B25E88">
        <w:t xml:space="preserve"> business is threatened.</w:t>
      </w:r>
    </w:p>
    <w:p w14:paraId="705BDC8C" w14:textId="77777777" w:rsidR="00B25E88" w:rsidRPr="00B25E88" w:rsidRDefault="009C1BF1" w:rsidP="00C30513">
      <w:pPr>
        <w:pStyle w:val="Heading6"/>
        <w:rPr>
          <w:rFonts w:eastAsia="Times New Roman"/>
        </w:rPr>
      </w:pPr>
      <w:r w:rsidRPr="00B25E88">
        <w:rPr>
          <w:rFonts w:eastAsia="Times New Roman"/>
        </w:rPr>
        <w:t>Easing Compliance</w:t>
      </w:r>
    </w:p>
    <w:p w14:paraId="0F28CD4A" w14:textId="77777777" w:rsidR="00B25E88" w:rsidRPr="00B25E88" w:rsidRDefault="009C1BF1" w:rsidP="00C30513">
      <w:pPr>
        <w:pStyle w:val="BulletListText"/>
        <w:rPr>
          <w:b/>
          <w:bCs/>
        </w:rPr>
      </w:pPr>
      <w:r w:rsidRPr="00B25E88">
        <w:t>Requirements subject to 30-day non-enforcement period for good faith compliance efforts.</w:t>
      </w:r>
    </w:p>
    <w:p w14:paraId="2B584F0D" w14:textId="77777777" w:rsidR="00B25E88" w:rsidRPr="00B25E88" w:rsidRDefault="009C1BF1" w:rsidP="00C30513">
      <w:pPr>
        <w:pStyle w:val="BulletListText"/>
      </w:pPr>
      <w:r w:rsidRPr="00B25E88">
        <w:t>To take immediate advantage of the paid leave credits, businesses can retain and access funds that they would otherwise pay to the IRS in payroll taxes. If those amounts are not sufficient to cover the cost of paid leave, employers can seek an expedited ad</w:t>
      </w:r>
      <w:r w:rsidRPr="00B25E88">
        <w:t xml:space="preserve">vance from the IRS by submitting a streamlined claim form </w:t>
      </w:r>
      <w:r w:rsidR="00C30513">
        <w:t>(which is expected to be released this week)</w:t>
      </w:r>
      <w:r w:rsidRPr="00B25E88">
        <w:t>.</w:t>
      </w:r>
    </w:p>
    <w:p w14:paraId="75DD5DEA" w14:textId="77777777" w:rsidR="00B25E88" w:rsidRPr="00B25E88" w:rsidRDefault="009C1BF1" w:rsidP="00C30513">
      <w:pPr>
        <w:pStyle w:val="SubHeader"/>
      </w:pPr>
      <w:r w:rsidRPr="00B25E88">
        <w:t>Background</w:t>
      </w:r>
    </w:p>
    <w:p w14:paraId="4868E30D" w14:textId="77777777" w:rsidR="00B25E88" w:rsidRPr="00B25E88" w:rsidRDefault="009C1BF1" w:rsidP="00B25E88">
      <w:pPr>
        <w:pStyle w:val="BodyText"/>
      </w:pPr>
      <w:r w:rsidRPr="00B25E88">
        <w:t>The Act provides paid sick leave and expanded family and medical leave for COVID-19 related reasons and creates the refundable paid sick leav</w:t>
      </w:r>
      <w:r w:rsidRPr="00B25E88">
        <w:t xml:space="preserve">e credit and the paid child care leave credit for eligible employers. Eligible employers are businesses and tax-exempt organizations with fewer than 500 employees that are required to provide emergency paid sick leave and emergency paid family and medical </w:t>
      </w:r>
      <w:r w:rsidRPr="00B25E88">
        <w:t xml:space="preserve">leave under the Act. </w:t>
      </w:r>
      <w:bookmarkStart w:id="3" w:name="_Hlk35859185"/>
      <w:r w:rsidRPr="00B25E88">
        <w:t>Eligible employers will be able to claim these credits based on qualifying leave they provide between the effective date and Dec</w:t>
      </w:r>
      <w:r w:rsidR="00C30513">
        <w:t>.</w:t>
      </w:r>
      <w:r w:rsidRPr="00B25E88">
        <w:t xml:space="preserve"> 31, 2020</w:t>
      </w:r>
      <w:bookmarkEnd w:id="3"/>
      <w:r w:rsidRPr="00B25E88">
        <w:t>. Equivalent credits are available to self-employed individuals based on similar circumstances.</w:t>
      </w:r>
    </w:p>
    <w:p w14:paraId="7ADB4C1A" w14:textId="77777777" w:rsidR="00B25E88" w:rsidRPr="00B25E88" w:rsidRDefault="009C1BF1" w:rsidP="00C30513">
      <w:pPr>
        <w:pStyle w:val="SubHeader"/>
      </w:pPr>
      <w:r w:rsidRPr="00B25E88">
        <w:t>P</w:t>
      </w:r>
      <w:r w:rsidRPr="00B25E88">
        <w:t>aid Leave</w:t>
      </w:r>
    </w:p>
    <w:p w14:paraId="4A036E3E" w14:textId="77777777" w:rsidR="00B25E88" w:rsidRPr="00B25E88" w:rsidRDefault="009C1BF1" w:rsidP="00B25E88">
      <w:pPr>
        <w:pStyle w:val="BodyText"/>
      </w:pPr>
      <w:r w:rsidRPr="00B25E88">
        <w:t>The Act provides that employees of eligible employers can receive two weeks (up to 80 hours) of paid sick leave at 100% of the employee</w:t>
      </w:r>
      <w:r w:rsidR="00C30513">
        <w:t>’</w:t>
      </w:r>
      <w:r w:rsidRPr="00B25E88">
        <w:t>s pay where the employee is unable to work because the employee is quarantined or experiencing COVID-19 sympto</w:t>
      </w:r>
      <w:r w:rsidRPr="00B25E88">
        <w:t xml:space="preserve">ms and seeking a medical diagnosis. An employee who is unable to work because of a need to care for an individual subject to quarantine, to care for a child whose school is closed or child care provider is unavailable for reasons related to COVID-19, or </w:t>
      </w:r>
      <w:r w:rsidR="008426BE">
        <w:t xml:space="preserve">if </w:t>
      </w:r>
      <w:r w:rsidRPr="00B25E88">
        <w:t>the employee is experiencing substantially similar conditions as specified by the U.S. Department of Health and Human Services can receive two weeks (up to 80 hours) of paid sick leave at two-thirds the employee’s pay. An employee who is unable to work du</w:t>
      </w:r>
      <w:r w:rsidRPr="00B25E88">
        <w:t xml:space="preserve">e to a need to care for a child whose school is closed, or child care provider is </w:t>
      </w:r>
      <w:r w:rsidRPr="00B25E88">
        <w:lastRenderedPageBreak/>
        <w:t xml:space="preserve">unavailable for reasons related to COVID-19, may in some instances receive up to an additional </w:t>
      </w:r>
      <w:r w:rsidR="008426BE">
        <w:t>10</w:t>
      </w:r>
      <w:r w:rsidRPr="00B25E88">
        <w:t xml:space="preserve"> weeks of expanded paid family and medical leave at </w:t>
      </w:r>
      <w:r w:rsidR="008426BE">
        <w:t>two-thirds</w:t>
      </w:r>
      <w:r w:rsidRPr="00B25E88">
        <w:t xml:space="preserve"> </w:t>
      </w:r>
      <w:r w:rsidR="00F95BA4">
        <w:t xml:space="preserve">of </w:t>
      </w:r>
      <w:r w:rsidRPr="00B25E88">
        <w:t>the employe</w:t>
      </w:r>
      <w:r w:rsidRPr="00B25E88">
        <w:t>e’s pay.</w:t>
      </w:r>
    </w:p>
    <w:p w14:paraId="00A9107A" w14:textId="77777777" w:rsidR="00B25E88" w:rsidRPr="00B25E88" w:rsidRDefault="009C1BF1" w:rsidP="00D73F16">
      <w:pPr>
        <w:pStyle w:val="SubHeader"/>
      </w:pPr>
      <w:r w:rsidRPr="00B25E88">
        <w:t>Paid Sick Leave Credit</w:t>
      </w:r>
    </w:p>
    <w:p w14:paraId="70E9C486" w14:textId="77777777" w:rsidR="00B25E88" w:rsidRPr="00B25E88" w:rsidRDefault="009C1BF1" w:rsidP="00B25E88">
      <w:pPr>
        <w:pStyle w:val="BodyText"/>
      </w:pPr>
      <w:r w:rsidRPr="00B25E88">
        <w:t xml:space="preserve">For an employee who is unable to work because of coronavirus quarantine or self-quarantine or has </w:t>
      </w:r>
      <w:r w:rsidR="00791D5F">
        <w:t>c</w:t>
      </w:r>
      <w:r w:rsidRPr="00B25E88">
        <w:t>oronavirus symptoms and is seeking a medical diagnosis, eligible employers may receive a refundable sick leave credit for sic</w:t>
      </w:r>
      <w:r w:rsidRPr="00B25E88">
        <w:t>k leave at the employee’s regular rate of pay, up to $511 per day and $5,110 in the aggregate, for a total of 10 days.</w:t>
      </w:r>
    </w:p>
    <w:p w14:paraId="53254F53" w14:textId="77777777" w:rsidR="00B25E88" w:rsidRPr="00B25E88" w:rsidRDefault="009C1BF1" w:rsidP="00B25E88">
      <w:pPr>
        <w:pStyle w:val="BodyText"/>
      </w:pPr>
      <w:r w:rsidRPr="00B25E88">
        <w:t>For an employee who is caring for someone with coronavirus, or is caring for a child because the child</w:t>
      </w:r>
      <w:r w:rsidR="00791D5F">
        <w:t>’</w:t>
      </w:r>
      <w:r w:rsidRPr="00B25E88">
        <w:t>s school or child care facility is</w:t>
      </w:r>
      <w:r w:rsidRPr="00B25E88">
        <w:t xml:space="preserve"> closed, or</w:t>
      </w:r>
      <w:r w:rsidR="00791D5F">
        <w:t xml:space="preserve"> for whom</w:t>
      </w:r>
      <w:r w:rsidRPr="00B25E88">
        <w:t xml:space="preserve"> the child care provider is unavailable due to the coronavirus, eligible employers may claim a credit for two-thirds of the employee’s regular rate of pay, up to $200 per day and $2,000 in the aggregate, for up to 10 days. Eligible empl</w:t>
      </w:r>
      <w:r w:rsidRPr="00B25E88">
        <w:t>oyers are entitled to an additional tax credit based on costs to maintain health insurance coverage for the eligible employee during the leave period.</w:t>
      </w:r>
    </w:p>
    <w:p w14:paraId="59611844" w14:textId="77777777" w:rsidR="00B25E88" w:rsidRPr="00B25E88" w:rsidRDefault="009C1BF1" w:rsidP="00791D5F">
      <w:pPr>
        <w:pStyle w:val="SubHeader"/>
      </w:pPr>
      <w:r w:rsidRPr="00B25E88">
        <w:t>Child Care Leave Credit</w:t>
      </w:r>
    </w:p>
    <w:p w14:paraId="7CECBEDE" w14:textId="77777777" w:rsidR="00B25E88" w:rsidRPr="00B25E88" w:rsidRDefault="009C1BF1" w:rsidP="00B25E88">
      <w:pPr>
        <w:pStyle w:val="BodyText"/>
      </w:pPr>
      <w:r w:rsidRPr="00B25E88">
        <w:t>In addition to the sick leave credit, for an employee who is unable to work becau</w:t>
      </w:r>
      <w:r w:rsidRPr="00B25E88">
        <w:t>se of a need to care for a child whose school or child care facility is closed or whose child care provider is unavailable due to the coronavirus, eligible employers may receive a refundable child care leave credit. This credit is equal to two-thirds of th</w:t>
      </w:r>
      <w:r w:rsidRPr="00B25E88">
        <w:t>e employee</w:t>
      </w:r>
      <w:r w:rsidR="00791D5F">
        <w:t>’</w:t>
      </w:r>
      <w:r w:rsidRPr="00B25E88">
        <w:t>s regular pay, capped at $200 per day or $10,000 in the aggregate. Up to 10 weeks of qualifying leave can be counted towards the child care leave credit. Eligible employers are entitled to an additional tax credit determined based on costs to ma</w:t>
      </w:r>
      <w:r w:rsidRPr="00B25E88">
        <w:t>intain health insurance coverage for the eligible employee during the leave period.</w:t>
      </w:r>
    </w:p>
    <w:p w14:paraId="21634682" w14:textId="77777777" w:rsidR="00B25E88" w:rsidRPr="00B25E88" w:rsidRDefault="009C1BF1" w:rsidP="00791D5F">
      <w:pPr>
        <w:pStyle w:val="SubHeader"/>
      </w:pPr>
      <w:r w:rsidRPr="00B25E88">
        <w:t>Prompt Payment for the Cost of Providing Leave</w:t>
      </w:r>
    </w:p>
    <w:p w14:paraId="7894A671" w14:textId="77777777" w:rsidR="00B25E88" w:rsidRPr="00B25E88" w:rsidRDefault="009C1BF1" w:rsidP="00B25E88">
      <w:pPr>
        <w:pStyle w:val="BodyText"/>
      </w:pPr>
      <w:r w:rsidRPr="00B25E88">
        <w:t>When employers pay their employees, they are required to withhold from their employees</w:t>
      </w:r>
      <w:r w:rsidR="00791D5F">
        <w:t>’</w:t>
      </w:r>
      <w:r w:rsidRPr="00B25E88">
        <w:t xml:space="preserve"> paychecks federal income taxes and th</w:t>
      </w:r>
      <w:r w:rsidRPr="00B25E88">
        <w:t>e employees</w:t>
      </w:r>
      <w:r w:rsidR="00791D5F">
        <w:t>’</w:t>
      </w:r>
      <w:r w:rsidRPr="00B25E88">
        <w:t xml:space="preserve"> share of Social Security and Medicare taxes. The employers then are required to deposit these federal taxes, along with their share of Social Security and Medicare taxes, with the IRS and file quarterly payroll tax returns (</w:t>
      </w:r>
      <w:hyperlink r:id="rId16" w:tooltip="Form 941, Employer's Quarterly Federal Tax Return" w:history="1">
        <w:r w:rsidRPr="00B25E88">
          <w:rPr>
            <w:rStyle w:val="Hyperlink"/>
          </w:rPr>
          <w:t>Form 941</w:t>
        </w:r>
      </w:hyperlink>
      <w:r w:rsidRPr="00B25E88">
        <w:t> series) with the IRS.</w:t>
      </w:r>
    </w:p>
    <w:p w14:paraId="79C2263F" w14:textId="77777777" w:rsidR="00B25E88" w:rsidRPr="00B25E88" w:rsidRDefault="009C1BF1" w:rsidP="00B25E88">
      <w:pPr>
        <w:pStyle w:val="BodyText"/>
      </w:pPr>
      <w:r w:rsidRPr="00B25E88">
        <w:t xml:space="preserve">Under guidance </w:t>
      </w:r>
      <w:r w:rsidR="00791D5F">
        <w:t xml:space="preserve">expected to be </w:t>
      </w:r>
      <w:r w:rsidRPr="00B25E88">
        <w:t xml:space="preserve">released </w:t>
      </w:r>
      <w:r w:rsidR="00791D5F">
        <w:t xml:space="preserve">this </w:t>
      </w:r>
      <w:r w:rsidRPr="00B25E88">
        <w:t>week, eligible employers who pay qualifying sick or child care leave will be able t</w:t>
      </w:r>
      <w:r w:rsidRPr="00B25E88">
        <w:t>o retain an amount of the payroll taxes equal to the amount of qualifying sick and child care leave that they paid, rather than deposit th</w:t>
      </w:r>
      <w:r w:rsidR="00791D5F">
        <w:t>at amount</w:t>
      </w:r>
      <w:r w:rsidRPr="00B25E88">
        <w:t xml:space="preserve"> with the IRS.</w:t>
      </w:r>
    </w:p>
    <w:p w14:paraId="28423FFD" w14:textId="77777777" w:rsidR="00B25E88" w:rsidRPr="00B25E88" w:rsidRDefault="009C1BF1" w:rsidP="00B25E88">
      <w:pPr>
        <w:pStyle w:val="BodyText"/>
      </w:pPr>
      <w:r w:rsidRPr="00B25E88">
        <w:t xml:space="preserve">The payroll taxes that are available for retention include withheld federal income taxes, the </w:t>
      </w:r>
      <w:r w:rsidRPr="00B25E88">
        <w:t>employee share of Social Security and Medicare taxes, and the employer share of Social Security and Medicare taxes with respect to all employees.</w:t>
      </w:r>
    </w:p>
    <w:p w14:paraId="109DA58E" w14:textId="77777777" w:rsidR="00B25E88" w:rsidRPr="00B25E88" w:rsidRDefault="009C1BF1" w:rsidP="00B25E88">
      <w:pPr>
        <w:pStyle w:val="BodyText"/>
      </w:pPr>
      <w:r w:rsidRPr="00B25E88">
        <w:t>If there are not sufficient payroll taxes to cover the cost of qualified sick and child care leave paid, emplo</w:t>
      </w:r>
      <w:r w:rsidRPr="00B25E88">
        <w:t xml:space="preserve">yers </w:t>
      </w:r>
      <w:r w:rsidR="00791D5F">
        <w:t xml:space="preserve">may </w:t>
      </w:r>
      <w:r w:rsidRPr="00B25E88">
        <w:t xml:space="preserve">file a request for an accelerated payment from the IRS. The IRS expects to process these requests in two weeks or less. The details of this new, expedited procedure </w:t>
      </w:r>
      <w:r w:rsidR="00DC1989">
        <w:t>are</w:t>
      </w:r>
      <w:r w:rsidR="00791D5F">
        <w:t xml:space="preserve"> expected to be announced this</w:t>
      </w:r>
      <w:r w:rsidRPr="00B25E88">
        <w:t xml:space="preserve"> week.</w:t>
      </w:r>
    </w:p>
    <w:p w14:paraId="0AE4E77F" w14:textId="77777777" w:rsidR="00B25E88" w:rsidRPr="00B25E88" w:rsidRDefault="009C1BF1" w:rsidP="00791D5F">
      <w:pPr>
        <w:pStyle w:val="SubHeader"/>
      </w:pPr>
      <w:r w:rsidRPr="00B25E88">
        <w:t>Examples</w:t>
      </w:r>
    </w:p>
    <w:p w14:paraId="0A919B60" w14:textId="77777777" w:rsidR="00B25E88" w:rsidRPr="00B25E88" w:rsidRDefault="009C1BF1" w:rsidP="00B25E88">
      <w:pPr>
        <w:pStyle w:val="BodyText"/>
      </w:pPr>
      <w:r w:rsidRPr="00B25E88">
        <w:t>If an eligible employer paid $5,000 in sic</w:t>
      </w:r>
      <w:r w:rsidRPr="00B25E88">
        <w:t>k leave and is otherwise required to deposit $8,000 in payroll taxes, including taxes withheld from all its employees, the employer could use up to $5,000 of the $8,000 of taxes it was going to deposit for making qualified leave payments. The employer woul</w:t>
      </w:r>
      <w:r w:rsidRPr="00B25E88">
        <w:t>d only be required under the law to deposit the remaining $3,000 on its next regular deposit date.</w:t>
      </w:r>
    </w:p>
    <w:p w14:paraId="0F027A1C" w14:textId="77777777" w:rsidR="00B25E88" w:rsidRPr="00B25E88" w:rsidRDefault="009C1BF1" w:rsidP="00B25E88">
      <w:pPr>
        <w:pStyle w:val="BodyText"/>
      </w:pPr>
      <w:r w:rsidRPr="00B25E88">
        <w:lastRenderedPageBreak/>
        <w:t>If an eligible employer paid $10,000 in sick leave and was required to deposit $8,000 in taxes, the employer could use the entire $8,000 of taxes in order to</w:t>
      </w:r>
      <w:r w:rsidRPr="00B25E88">
        <w:t xml:space="preserve"> make qualified leave payments and file a request for an accelerated credit for the remaining $2,000.</w:t>
      </w:r>
    </w:p>
    <w:p w14:paraId="6D133B8B" w14:textId="77777777" w:rsidR="00B25E88" w:rsidRPr="00B25E88" w:rsidRDefault="009C1BF1" w:rsidP="00B25E88">
      <w:pPr>
        <w:pStyle w:val="BodyText"/>
      </w:pPr>
      <w:r w:rsidRPr="00B25E88">
        <w:t>Equivalent child care leave and sick leave credit amounts are available to self-employed individuals under similar circumstances. These credits will be cl</w:t>
      </w:r>
      <w:r w:rsidRPr="00B25E88">
        <w:t>aimed on their income tax return and will reduce estimated tax payments.</w:t>
      </w:r>
    </w:p>
    <w:p w14:paraId="15E02641" w14:textId="77777777" w:rsidR="00B25E88" w:rsidRPr="00B25E88" w:rsidRDefault="009C1BF1" w:rsidP="00791D5F">
      <w:pPr>
        <w:pStyle w:val="SubHeader"/>
      </w:pPr>
      <w:r w:rsidRPr="00B25E88">
        <w:t>Small Business Exemption</w:t>
      </w:r>
    </w:p>
    <w:p w14:paraId="53284EAC" w14:textId="77777777" w:rsidR="00B25E88" w:rsidRPr="00B25E88" w:rsidRDefault="009C1BF1" w:rsidP="00B25E88">
      <w:pPr>
        <w:pStyle w:val="BodyText"/>
      </w:pPr>
      <w:r>
        <w:t xml:space="preserve">Employers </w:t>
      </w:r>
      <w:r w:rsidRPr="00B25E88">
        <w:t xml:space="preserve">with fewer than 50 employees </w:t>
      </w:r>
      <w:r w:rsidR="00791D5F">
        <w:t xml:space="preserve">may </w:t>
      </w:r>
      <w:r w:rsidRPr="00B25E88">
        <w:t>be eligible for an exemption from the leave requirements relating to school closings or child care unavailability w</w:t>
      </w:r>
      <w:r w:rsidRPr="00B25E88">
        <w:t>here the</w:t>
      </w:r>
      <w:r w:rsidR="00791D5F">
        <w:t>se</w:t>
      </w:r>
      <w:r w:rsidRPr="00B25E88">
        <w:t xml:space="preserve"> requirements would jeopardize the</w:t>
      </w:r>
      <w:r w:rsidR="00791D5F">
        <w:t>ir businesses’</w:t>
      </w:r>
      <w:r w:rsidRPr="00B25E88">
        <w:t xml:space="preserve"> ability to continue. Th</w:t>
      </w:r>
      <w:r>
        <w:t xml:space="preserve">is </w:t>
      </w:r>
      <w:r w:rsidRPr="00B25E88">
        <w:t>exemption will be available in circumstances involving jeopardy to the viability of an employer</w:t>
      </w:r>
      <w:r w:rsidR="00791D5F">
        <w:t>’</w:t>
      </w:r>
      <w:r w:rsidRPr="00B25E88">
        <w:t xml:space="preserve">s business as a going concern. The DOL will provide emergency guidance and </w:t>
      </w:r>
      <w:r w:rsidRPr="00B25E88">
        <w:t>rulemaking to clearly articulate this standard.</w:t>
      </w:r>
    </w:p>
    <w:p w14:paraId="4C5F0C21" w14:textId="77777777" w:rsidR="00B25E88" w:rsidRPr="00B25E88" w:rsidRDefault="009C1BF1" w:rsidP="00791D5F">
      <w:pPr>
        <w:pStyle w:val="SubHeader"/>
      </w:pPr>
      <w:r w:rsidRPr="00B25E88">
        <w:t>Non-Enforcement Period</w:t>
      </w:r>
    </w:p>
    <w:p w14:paraId="75611A30" w14:textId="77777777" w:rsidR="00B25E88" w:rsidRPr="00B25E88" w:rsidRDefault="009C1BF1" w:rsidP="00B25E88">
      <w:pPr>
        <w:pStyle w:val="BodyText"/>
      </w:pPr>
      <w:r w:rsidRPr="00B25E88">
        <w:t xml:space="preserve">The DOL </w:t>
      </w:r>
      <w:r w:rsidR="00791D5F">
        <w:t xml:space="preserve">plans to issue </w:t>
      </w:r>
      <w:r w:rsidRPr="00B25E88">
        <w:t xml:space="preserve">a temporary non-enforcement policy that provides a </w:t>
      </w:r>
      <w:r w:rsidR="00791D5F">
        <w:t xml:space="preserve">time </w:t>
      </w:r>
      <w:r w:rsidRPr="00B25E88">
        <w:t>period for employers to come into compliance with the Act. Under this policy, the DOL will not bring an en</w:t>
      </w:r>
      <w:r w:rsidRPr="00B25E88">
        <w:t>forcement action against any employer for violations of the Act as long as the employer has acted reasonably and in good faith to comply with the Act. The DOL will instead focus on compliance assistance during the 30-day period.</w:t>
      </w:r>
    </w:p>
    <w:p w14:paraId="2936993A" w14:textId="77777777" w:rsidR="00B25E88" w:rsidRPr="00B25E88" w:rsidRDefault="009C1BF1" w:rsidP="00791D5F">
      <w:pPr>
        <w:pStyle w:val="SubHeader"/>
      </w:pPr>
      <w:r w:rsidRPr="00B25E88">
        <w:t>More Information</w:t>
      </w:r>
    </w:p>
    <w:p w14:paraId="2EA10E3A" w14:textId="77777777" w:rsidR="00B25E88" w:rsidRDefault="009C1BF1" w:rsidP="00B25E88">
      <w:pPr>
        <w:pStyle w:val="BodyText"/>
      </w:pPr>
      <w:r w:rsidRPr="00B25E88">
        <w:t xml:space="preserve">For more information about these credits and other relief, </w:t>
      </w:r>
      <w:bookmarkStart w:id="4" w:name="_Hlk35859962"/>
      <w:r w:rsidRPr="00B25E88">
        <w:t>visit </w:t>
      </w:r>
      <w:hyperlink r:id="rId17" w:tooltip="Coronavirus Tax Relief" w:history="1">
        <w:r w:rsidRPr="00B25E88">
          <w:rPr>
            <w:rStyle w:val="Hyperlink"/>
          </w:rPr>
          <w:t>Coronavirus Tax Relief</w:t>
        </w:r>
      </w:hyperlink>
      <w:r w:rsidRPr="00B25E88">
        <w:t> on IRS</w:t>
      </w:r>
      <w:bookmarkEnd w:id="4"/>
      <w:r w:rsidRPr="00B25E88">
        <w:t xml:space="preserve">.gov. </w:t>
      </w:r>
    </w:p>
    <w:p w14:paraId="73AB9DD6" w14:textId="77777777" w:rsidR="00791D5F" w:rsidRPr="00791D5F" w:rsidRDefault="009C1BF1" w:rsidP="00791D5F">
      <w:pPr>
        <w:pStyle w:val="BodyText"/>
        <w:jc w:val="right"/>
        <w:rPr>
          <w:i/>
        </w:rPr>
      </w:pPr>
      <w:r w:rsidRPr="00791D5F">
        <w:rPr>
          <w:i/>
        </w:rPr>
        <w:t xml:space="preserve">Source: Internal Revenue Service </w:t>
      </w:r>
    </w:p>
    <w:p w14:paraId="19D3019F" w14:textId="77777777" w:rsidR="00B25E88" w:rsidRPr="00B25E88" w:rsidRDefault="00B25E88" w:rsidP="00B25E88">
      <w:pPr>
        <w:pStyle w:val="BodyText"/>
      </w:pPr>
    </w:p>
    <w:p w14:paraId="4EF1F35F" w14:textId="77777777" w:rsidR="00896CEC" w:rsidRDefault="00896CEC" w:rsidP="00896CEC">
      <w:pPr>
        <w:pStyle w:val="BodyText"/>
      </w:pPr>
    </w:p>
    <w:sectPr w:rsidR="00896CEC" w:rsidSect="00C84C66">
      <w:headerReference w:type="default" r:id="rId18"/>
      <w:footerReference w:type="default" r:id="rId19"/>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AFE2" w14:textId="77777777" w:rsidR="009C1BF1" w:rsidRDefault="009C1BF1">
      <w:pPr>
        <w:spacing w:after="0" w:line="240" w:lineRule="auto"/>
      </w:pPr>
      <w:r>
        <w:separator/>
      </w:r>
    </w:p>
  </w:endnote>
  <w:endnote w:type="continuationSeparator" w:id="0">
    <w:p w14:paraId="4DBDF78F" w14:textId="77777777" w:rsidR="009C1BF1" w:rsidRDefault="009C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AB8D" w14:textId="77777777" w:rsidR="0098636D" w:rsidRDefault="009C1BF1">
    <w:pPr>
      <w:pStyle w:val="Footer"/>
    </w:pPr>
    <w:r>
      <w:rPr>
        <w:noProof/>
      </w:rPr>
      <mc:AlternateContent>
        <mc:Choice Requires="wps">
          <w:drawing>
            <wp:anchor distT="0" distB="0" distL="114300" distR="114300" simplePos="0" relativeHeight="251663360" behindDoc="0" locked="0" layoutInCell="1" allowOverlap="1" wp14:anchorId="76C50285" wp14:editId="7EFE9123">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4384" from="0,0" to="324.9pt,0" strokecolor="#6f61b0" strokeweight="3.5pt">
              <v:stroke joinstyle="miter" opacity="49087f"/>
              <w10:wrap anchorx="margin" anchory="margin"/>
            </v:line>
          </w:pict>
        </mc:Fallback>
      </mc:AlternateContent>
    </w:r>
    <w:r>
      <w:rPr>
        <w:noProof/>
      </w:rPr>
      <w:drawing>
        <wp:anchor distT="0" distB="0" distL="114300" distR="114300" simplePos="0" relativeHeight="251659264" behindDoc="1" locked="0" layoutInCell="1" allowOverlap="1" wp14:anchorId="0712F06B" wp14:editId="7C9DE05B">
          <wp:simplePos x="0" y="0"/>
          <wp:positionH relativeFrom="page">
            <wp:posOffset>0</wp:posOffset>
          </wp:positionH>
          <wp:positionV relativeFrom="paragraph">
            <wp:posOffset>1492575</wp:posOffset>
          </wp:positionV>
          <wp:extent cx="7772400" cy="63093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81088"/>
      <w:docPartObj>
        <w:docPartGallery w:val="Page Numbers (Bottom of Page)"/>
        <w:docPartUnique/>
      </w:docPartObj>
    </w:sdtPr>
    <w:sdtEndPr>
      <w:rPr>
        <w:noProof/>
      </w:rPr>
    </w:sdtEndPr>
    <w:sdtContent>
      <w:p w14:paraId="0FB51566" w14:textId="77777777" w:rsidR="00E35483" w:rsidRDefault="009C1BF1">
        <w:pPr>
          <w:pStyle w:val="Footer"/>
          <w:jc w:val="right"/>
        </w:pPr>
        <w:r>
          <w:rPr>
            <w:noProof/>
          </w:rPr>
          <mc:AlternateContent>
            <mc:Choice Requires="wps">
              <w:drawing>
                <wp:anchor distT="0" distB="0" distL="114300" distR="114300" simplePos="0" relativeHeight="251661312" behindDoc="0" locked="0" layoutInCell="1" allowOverlap="1" wp14:anchorId="0F9700A4" wp14:editId="2F004B40">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50527" cy="556260"/>
                          </a:xfrm>
                          <a:prstGeom prst="rect">
                            <a:avLst/>
                          </a:prstGeom>
                          <a:noFill/>
                          <a:ln w="6350">
                            <a:noFill/>
                          </a:ln>
                          <a:effectLst/>
                        </wps:spPr>
                        <wps:txbx>
                          <w:txbxContent>
                            <w:p w14:paraId="24B56369" w14:textId="77777777" w:rsidR="00267C01" w:rsidRPr="00817EEE" w:rsidRDefault="009C1BF1" w:rsidP="00267C01">
                              <w:pPr>
                                <w:pStyle w:val="Disclaimer"/>
                              </w:pPr>
                              <w:r w:rsidRPr="00947E11">
                                <w:rPr>
                                  <w:szCs w:val="16"/>
                                </w:rPr>
                                <w:t xml:space="preserve">This </w:t>
                              </w:r>
                              <w:r>
                                <w:rPr>
                                  <w:szCs w:val="16"/>
                                </w:rPr>
                                <w:t>Compliance Bulletin</w:t>
                              </w:r>
                              <w:r w:rsidRPr="00947E11">
                                <w:rPr>
                                  <w:szCs w:val="16"/>
                                </w:rPr>
                                <w:t xml:space="preserve"> is not inte</w:t>
                              </w:r>
                              <w:r w:rsidRPr="00947E11">
                                <w:rPr>
                                  <w:szCs w:val="16"/>
                                </w:rPr>
                                <w:t xml:space="preserve">nded to be exhaustive nor should any discussion or opinions be construed as legal advice. Readers should contact </w:t>
                              </w:r>
                              <w:r>
                                <w:rPr>
                                  <w:szCs w:val="16"/>
                                </w:rPr>
                                <w:t xml:space="preserve">legal counsel for legal advice. </w:t>
                              </w:r>
                              <w:r w:rsidRPr="00817EEE">
                                <w:t>©</w:t>
                              </w:r>
                              <w:r w:rsidR="0040083C">
                                <w:t>2020</w:t>
                              </w:r>
                              <w:r>
                                <w:t xml:space="preserve"> </w:t>
                              </w:r>
                              <w:r w:rsidRPr="00817EEE">
                                <w:t>Zywave, Inc.</w:t>
                              </w:r>
                              <w:r>
                                <w:t xml:space="preserve"> </w:t>
                              </w:r>
                              <w:r w:rsidRPr="00817EEE">
                                <w:t>All rights reserved.</w:t>
                              </w:r>
                            </w:p>
                            <w:p w14:paraId="5DB389E9" w14:textId="77777777" w:rsidR="00267C01" w:rsidRPr="00947E11" w:rsidRDefault="00267C01" w:rsidP="00267C01">
                              <w:pPr>
                                <w:pStyle w:val="Disclaimer"/>
                                <w:rPr>
                                  <w:szCs w:val="16"/>
                                </w:rPr>
                              </w:pPr>
                            </w:p>
                            <w:p w14:paraId="4BBE9685" w14:textId="77777777" w:rsidR="00267C01" w:rsidRPr="00947E11" w:rsidRDefault="00267C01" w:rsidP="00267C01">
                              <w:pPr>
                                <w:pStyle w:val="Disclaimer"/>
                                <w:rPr>
                                  <w:szCs w:val="16"/>
                                </w:rPr>
                              </w:pPr>
                            </w:p>
                            <w:p w14:paraId="69A15537" w14:textId="77777777" w:rsidR="00267C01" w:rsidRPr="00947E11" w:rsidRDefault="00267C01" w:rsidP="00267C01">
                              <w:pPr>
                                <w:pStyle w:val="Disclaimer"/>
                                <w:rPr>
                                  <w:szCs w:val="16"/>
                                </w:rPr>
                              </w:pPr>
                            </w:p>
                            <w:p w14:paraId="6D4F0435" w14:textId="77777777" w:rsidR="00E6115F" w:rsidRPr="00947E11" w:rsidRDefault="00E6115F" w:rsidP="008F7B15">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267C01" w:rsidRPr="00817EEE" w:rsidP="00267C01" w14:paraId="56EB251C" w14:textId="77777777">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40083C">
                          <w:t>2020</w:t>
                        </w:r>
                        <w:r>
                          <w:t xml:space="preserve"> </w:t>
                        </w:r>
                        <w:r w:rsidRPr="00817EEE">
                          <w:t>Zywave, Inc.</w:t>
                        </w:r>
                        <w:r>
                          <w:t xml:space="preserve"> </w:t>
                        </w:r>
                        <w:r w:rsidRPr="00817EEE">
                          <w:t>All rights reserved.</w:t>
                        </w:r>
                      </w:p>
                      <w:p w:rsidR="00267C01" w:rsidRPr="00947E11" w:rsidP="00267C01" w14:paraId="15FB7C1D" w14:textId="77777777">
                        <w:pPr>
                          <w:pStyle w:val="Disclaimer"/>
                          <w:rPr>
                            <w:szCs w:val="16"/>
                          </w:rPr>
                        </w:pPr>
                      </w:p>
                      <w:p w:rsidR="00267C01" w:rsidRPr="00947E11" w:rsidP="00267C01" w14:paraId="6BD52F50" w14:textId="77777777">
                        <w:pPr>
                          <w:pStyle w:val="Disclaimer"/>
                          <w:rPr>
                            <w:szCs w:val="16"/>
                          </w:rPr>
                        </w:pPr>
                      </w:p>
                      <w:p w:rsidR="00267C01" w:rsidRPr="00947E11" w:rsidP="00267C01" w14:paraId="6C84F48A" w14:textId="77777777">
                        <w:pPr>
                          <w:pStyle w:val="Disclaimer"/>
                          <w:rPr>
                            <w:szCs w:val="16"/>
                          </w:rPr>
                        </w:pPr>
                      </w:p>
                      <w:p w:rsidR="00E6115F" w:rsidRPr="00947E11" w:rsidP="008F7B15" w14:paraId="43A6424D" w14:textId="77777777">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3953AE84" wp14:editId="5A5AD6BE">
                  <wp:simplePos x="0" y="0"/>
                  <wp:positionH relativeFrom="margin">
                    <wp:posOffset>7620</wp:posOffset>
                  </wp:positionH>
                  <wp:positionV relativeFrom="bottomMargin">
                    <wp:posOffset>7620</wp:posOffset>
                  </wp:positionV>
                  <wp:extent cx="6848475" cy="8890"/>
                  <wp:effectExtent l="19050" t="19050" r="9525" b="29210"/>
                  <wp:wrapNone/>
                  <wp:docPr id="508526199" name="Straight Connector 1"/>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6432" from="0.6pt,0.6pt" to="539.85pt,1.3pt" strokecolor="#6f61b0" strokeweight="3.5pt">
                  <v:stroke joinstyle="miter" opacity="49087f"/>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102B044" w14:textId="77777777" w:rsidR="00E6115F" w:rsidRDefault="00E6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5A91" w14:textId="77777777" w:rsidR="009C1BF1" w:rsidRDefault="009C1BF1">
      <w:pPr>
        <w:spacing w:after="0" w:line="240" w:lineRule="auto"/>
      </w:pPr>
      <w:r>
        <w:separator/>
      </w:r>
    </w:p>
  </w:footnote>
  <w:footnote w:type="continuationSeparator" w:id="0">
    <w:p w14:paraId="0BD9F6E8" w14:textId="77777777" w:rsidR="009C1BF1" w:rsidRDefault="009C1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DF7F" w14:textId="77777777" w:rsidR="0098636D" w:rsidRDefault="009C1BF1">
    <w:pPr>
      <w:pStyle w:val="Header"/>
    </w:pPr>
    <w:r>
      <w:rPr>
        <w:noProof/>
      </w:rPr>
      <w:drawing>
        <wp:anchor distT="0" distB="0" distL="114300" distR="114300" simplePos="0" relativeHeight="251658240" behindDoc="1" locked="0" layoutInCell="1" allowOverlap="1" wp14:anchorId="45EAE1F3" wp14:editId="5EEAF4FA">
          <wp:simplePos x="0" y="0"/>
          <wp:positionH relativeFrom="page">
            <wp:align>right</wp:align>
          </wp:positionH>
          <wp:positionV relativeFrom="page">
            <wp:align>top</wp:align>
          </wp:positionV>
          <wp:extent cx="7760969" cy="1004226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69"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EEEB" w14:textId="77777777" w:rsidR="00A357CD" w:rsidRDefault="009C1BF1">
    <w:pPr>
      <w:pStyle w:val="Header"/>
    </w:pPr>
    <w:r>
      <w:rPr>
        <w:noProof/>
      </w:rPr>
      <w:drawing>
        <wp:anchor distT="0" distB="0" distL="114300" distR="114300" simplePos="0" relativeHeight="251660288" behindDoc="1" locked="0" layoutInCell="1" allowOverlap="1" wp14:anchorId="4FB4F8B2" wp14:editId="6CB5A565">
          <wp:simplePos x="0" y="0"/>
          <wp:positionH relativeFrom="page">
            <wp:posOffset>9144</wp:posOffset>
          </wp:positionH>
          <wp:positionV relativeFrom="paragraph">
            <wp:posOffset>-448056</wp:posOffset>
          </wp:positionV>
          <wp:extent cx="7755309" cy="163677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01840"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55309" cy="163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1.25pt;height:629.25pt" o:bullet="t">
        <v:imagedata r:id="rId1" o:title="Checkmark_BLUE"/>
      </v:shape>
    </w:pict>
  </w:numPicBullet>
  <w:abstractNum w:abstractNumId="0" w15:restartNumberingAfterBreak="0">
    <w:nsid w:val="003D4184"/>
    <w:multiLevelType w:val="hybridMultilevel"/>
    <w:tmpl w:val="01628884"/>
    <w:lvl w:ilvl="0" w:tplc="0E7AB052">
      <w:start w:val="1"/>
      <w:numFmt w:val="bullet"/>
      <w:pStyle w:val="BulletListText"/>
      <w:lvlText w:val=""/>
      <w:lvlJc w:val="left"/>
      <w:pPr>
        <w:ind w:left="720" w:hanging="360"/>
      </w:pPr>
      <w:rPr>
        <w:rFonts w:ascii="Symbol" w:hAnsi="Symbol" w:hint="default"/>
        <w:color w:val="6F61B0"/>
      </w:rPr>
    </w:lvl>
    <w:lvl w:ilvl="1" w:tplc="B97E9DA4">
      <w:start w:val="1"/>
      <w:numFmt w:val="bullet"/>
      <w:lvlText w:val="o"/>
      <w:lvlJc w:val="left"/>
      <w:pPr>
        <w:ind w:left="1440" w:hanging="360"/>
      </w:pPr>
      <w:rPr>
        <w:rFonts w:ascii="Courier New" w:hAnsi="Courier New" w:cs="Courier New" w:hint="default"/>
      </w:rPr>
    </w:lvl>
    <w:lvl w:ilvl="2" w:tplc="1B1A38BA">
      <w:start w:val="1"/>
      <w:numFmt w:val="bullet"/>
      <w:lvlText w:val=""/>
      <w:lvlJc w:val="left"/>
      <w:pPr>
        <w:ind w:left="2160" w:hanging="360"/>
      </w:pPr>
      <w:rPr>
        <w:rFonts w:ascii="Wingdings" w:hAnsi="Wingdings" w:hint="default"/>
      </w:rPr>
    </w:lvl>
    <w:lvl w:ilvl="3" w:tplc="8AA2EF96">
      <w:start w:val="1"/>
      <w:numFmt w:val="bullet"/>
      <w:lvlText w:val=""/>
      <w:lvlJc w:val="left"/>
      <w:pPr>
        <w:ind w:left="2880" w:hanging="360"/>
      </w:pPr>
      <w:rPr>
        <w:rFonts w:ascii="Symbol" w:hAnsi="Symbol" w:hint="default"/>
      </w:rPr>
    </w:lvl>
    <w:lvl w:ilvl="4" w:tplc="0C7AF9F0" w:tentative="1">
      <w:start w:val="1"/>
      <w:numFmt w:val="bullet"/>
      <w:lvlText w:val="o"/>
      <w:lvlJc w:val="left"/>
      <w:pPr>
        <w:ind w:left="3600" w:hanging="360"/>
      </w:pPr>
      <w:rPr>
        <w:rFonts w:ascii="Courier New" w:hAnsi="Courier New" w:cs="Courier New" w:hint="default"/>
      </w:rPr>
    </w:lvl>
    <w:lvl w:ilvl="5" w:tplc="27CAC896" w:tentative="1">
      <w:start w:val="1"/>
      <w:numFmt w:val="bullet"/>
      <w:lvlText w:val=""/>
      <w:lvlJc w:val="left"/>
      <w:pPr>
        <w:ind w:left="4320" w:hanging="360"/>
      </w:pPr>
      <w:rPr>
        <w:rFonts w:ascii="Wingdings" w:hAnsi="Wingdings" w:hint="default"/>
      </w:rPr>
    </w:lvl>
    <w:lvl w:ilvl="6" w:tplc="B1D4C59C" w:tentative="1">
      <w:start w:val="1"/>
      <w:numFmt w:val="bullet"/>
      <w:lvlText w:val=""/>
      <w:lvlJc w:val="left"/>
      <w:pPr>
        <w:ind w:left="5040" w:hanging="360"/>
      </w:pPr>
      <w:rPr>
        <w:rFonts w:ascii="Symbol" w:hAnsi="Symbol" w:hint="default"/>
      </w:rPr>
    </w:lvl>
    <w:lvl w:ilvl="7" w:tplc="7BE0B478" w:tentative="1">
      <w:start w:val="1"/>
      <w:numFmt w:val="bullet"/>
      <w:lvlText w:val="o"/>
      <w:lvlJc w:val="left"/>
      <w:pPr>
        <w:ind w:left="5760" w:hanging="360"/>
      </w:pPr>
      <w:rPr>
        <w:rFonts w:ascii="Courier New" w:hAnsi="Courier New" w:cs="Courier New" w:hint="default"/>
      </w:rPr>
    </w:lvl>
    <w:lvl w:ilvl="8" w:tplc="F5DED600" w:tentative="1">
      <w:start w:val="1"/>
      <w:numFmt w:val="bullet"/>
      <w:lvlText w:val=""/>
      <w:lvlJc w:val="left"/>
      <w:pPr>
        <w:ind w:left="6480" w:hanging="360"/>
      </w:pPr>
      <w:rPr>
        <w:rFonts w:ascii="Wingdings" w:hAnsi="Wingdings" w:hint="default"/>
      </w:rPr>
    </w:lvl>
  </w:abstractNum>
  <w:abstractNum w:abstractNumId="1" w15:restartNumberingAfterBreak="0">
    <w:nsid w:val="02EB1D96"/>
    <w:multiLevelType w:val="multilevel"/>
    <w:tmpl w:val="B13CDD56"/>
    <w:numStyleLink w:val="BulletedList"/>
  </w:abstractNum>
  <w:abstractNum w:abstractNumId="2" w15:restartNumberingAfterBreak="0">
    <w:nsid w:val="107872B1"/>
    <w:multiLevelType w:val="multilevel"/>
    <w:tmpl w:val="B13CDD56"/>
    <w:numStyleLink w:val="BulletedList"/>
  </w:abstractNum>
  <w:abstractNum w:abstractNumId="3" w15:restartNumberingAfterBreak="0">
    <w:nsid w:val="11E95063"/>
    <w:multiLevelType w:val="hybridMultilevel"/>
    <w:tmpl w:val="0CE2A7C2"/>
    <w:lvl w:ilvl="0" w:tplc="6962527C">
      <w:start w:val="1"/>
      <w:numFmt w:val="bullet"/>
      <w:pStyle w:val="BulletList"/>
      <w:lvlText w:val=""/>
      <w:lvlJc w:val="left"/>
      <w:pPr>
        <w:ind w:left="540" w:hanging="360"/>
      </w:pPr>
      <w:rPr>
        <w:rFonts w:ascii="Symbol" w:hAnsi="Symbol" w:hint="default"/>
        <w:color w:val="5083C9"/>
      </w:rPr>
    </w:lvl>
    <w:lvl w:ilvl="1" w:tplc="D8FE45E6">
      <w:start w:val="1"/>
      <w:numFmt w:val="bullet"/>
      <w:lvlText w:val="o"/>
      <w:lvlJc w:val="left"/>
      <w:pPr>
        <w:ind w:left="1440" w:hanging="360"/>
      </w:pPr>
      <w:rPr>
        <w:rFonts w:ascii="Courier New" w:hAnsi="Courier New" w:cs="Courier New" w:hint="default"/>
      </w:rPr>
    </w:lvl>
    <w:lvl w:ilvl="2" w:tplc="2026AABA">
      <w:start w:val="1"/>
      <w:numFmt w:val="bullet"/>
      <w:lvlText w:val=""/>
      <w:lvlJc w:val="left"/>
      <w:pPr>
        <w:ind w:left="2160" w:hanging="360"/>
      </w:pPr>
      <w:rPr>
        <w:rFonts w:ascii="Wingdings" w:hAnsi="Wingdings" w:hint="default"/>
      </w:rPr>
    </w:lvl>
    <w:lvl w:ilvl="3" w:tplc="2EAA8DBA" w:tentative="1">
      <w:start w:val="1"/>
      <w:numFmt w:val="bullet"/>
      <w:lvlText w:val=""/>
      <w:lvlJc w:val="left"/>
      <w:pPr>
        <w:ind w:left="2880" w:hanging="360"/>
      </w:pPr>
      <w:rPr>
        <w:rFonts w:ascii="Symbol" w:hAnsi="Symbol" w:hint="default"/>
      </w:rPr>
    </w:lvl>
    <w:lvl w:ilvl="4" w:tplc="C25CF6A8" w:tentative="1">
      <w:start w:val="1"/>
      <w:numFmt w:val="bullet"/>
      <w:lvlText w:val="o"/>
      <w:lvlJc w:val="left"/>
      <w:pPr>
        <w:ind w:left="3600" w:hanging="360"/>
      </w:pPr>
      <w:rPr>
        <w:rFonts w:ascii="Courier New" w:hAnsi="Courier New" w:cs="Courier New" w:hint="default"/>
      </w:rPr>
    </w:lvl>
    <w:lvl w:ilvl="5" w:tplc="4818182E" w:tentative="1">
      <w:start w:val="1"/>
      <w:numFmt w:val="bullet"/>
      <w:lvlText w:val=""/>
      <w:lvlJc w:val="left"/>
      <w:pPr>
        <w:ind w:left="4320" w:hanging="360"/>
      </w:pPr>
      <w:rPr>
        <w:rFonts w:ascii="Wingdings" w:hAnsi="Wingdings" w:hint="default"/>
      </w:rPr>
    </w:lvl>
    <w:lvl w:ilvl="6" w:tplc="FC82AAA2" w:tentative="1">
      <w:start w:val="1"/>
      <w:numFmt w:val="bullet"/>
      <w:lvlText w:val=""/>
      <w:lvlJc w:val="left"/>
      <w:pPr>
        <w:ind w:left="5040" w:hanging="360"/>
      </w:pPr>
      <w:rPr>
        <w:rFonts w:ascii="Symbol" w:hAnsi="Symbol" w:hint="default"/>
      </w:rPr>
    </w:lvl>
    <w:lvl w:ilvl="7" w:tplc="836089FE" w:tentative="1">
      <w:start w:val="1"/>
      <w:numFmt w:val="bullet"/>
      <w:lvlText w:val="o"/>
      <w:lvlJc w:val="left"/>
      <w:pPr>
        <w:ind w:left="5760" w:hanging="360"/>
      </w:pPr>
      <w:rPr>
        <w:rFonts w:ascii="Courier New" w:hAnsi="Courier New" w:cs="Courier New" w:hint="default"/>
      </w:rPr>
    </w:lvl>
    <w:lvl w:ilvl="8" w:tplc="70B42F4E" w:tentative="1">
      <w:start w:val="1"/>
      <w:numFmt w:val="bullet"/>
      <w:lvlText w:val=""/>
      <w:lvlJc w:val="left"/>
      <w:pPr>
        <w:ind w:left="6480" w:hanging="360"/>
      </w:pPr>
      <w:rPr>
        <w:rFonts w:ascii="Wingdings" w:hAnsi="Wingdings" w:hint="default"/>
      </w:rPr>
    </w:lvl>
  </w:abstractNum>
  <w:abstractNum w:abstractNumId="4" w15:restartNumberingAfterBreak="0">
    <w:nsid w:val="1552176E"/>
    <w:multiLevelType w:val="multilevel"/>
    <w:tmpl w:val="B13CDD56"/>
    <w:numStyleLink w:val="BulletedList"/>
  </w:abstractNum>
  <w:abstractNum w:abstractNumId="5" w15:restartNumberingAfterBreak="0">
    <w:nsid w:val="15AF19AE"/>
    <w:multiLevelType w:val="multilevel"/>
    <w:tmpl w:val="B13CDD56"/>
    <w:numStyleLink w:val="BulletedList"/>
  </w:abstractNum>
  <w:abstractNum w:abstractNumId="6" w15:restartNumberingAfterBreak="0">
    <w:nsid w:val="1A270686"/>
    <w:multiLevelType w:val="hybridMultilevel"/>
    <w:tmpl w:val="409AC006"/>
    <w:lvl w:ilvl="0" w:tplc="70BE99AE">
      <w:start w:val="1"/>
      <w:numFmt w:val="bullet"/>
      <w:pStyle w:val="Checkbox"/>
      <w:lvlText w:val=""/>
      <w:lvlJc w:val="left"/>
      <w:pPr>
        <w:ind w:left="1170" w:hanging="360"/>
      </w:pPr>
      <w:rPr>
        <w:rFonts w:ascii="Wingdings" w:hAnsi="Wingdings" w:hint="default"/>
        <w:color w:val="5083C9"/>
        <w:sz w:val="28"/>
      </w:rPr>
    </w:lvl>
    <w:lvl w:ilvl="1" w:tplc="2870C8CA">
      <w:start w:val="1"/>
      <w:numFmt w:val="bullet"/>
      <w:lvlText w:val="o"/>
      <w:lvlJc w:val="left"/>
      <w:pPr>
        <w:ind w:left="2070" w:hanging="360"/>
      </w:pPr>
      <w:rPr>
        <w:rFonts w:ascii="Courier New" w:hAnsi="Courier New" w:cs="Courier New" w:hint="default"/>
      </w:rPr>
    </w:lvl>
    <w:lvl w:ilvl="2" w:tplc="AA760FEA">
      <w:start w:val="1"/>
      <w:numFmt w:val="bullet"/>
      <w:lvlText w:val=""/>
      <w:lvlJc w:val="left"/>
      <w:pPr>
        <w:ind w:left="2790" w:hanging="360"/>
      </w:pPr>
      <w:rPr>
        <w:rFonts w:ascii="Wingdings" w:hAnsi="Wingdings" w:hint="default"/>
      </w:rPr>
    </w:lvl>
    <w:lvl w:ilvl="3" w:tplc="FBC43E56" w:tentative="1">
      <w:start w:val="1"/>
      <w:numFmt w:val="bullet"/>
      <w:lvlText w:val=""/>
      <w:lvlJc w:val="left"/>
      <w:pPr>
        <w:ind w:left="3510" w:hanging="360"/>
      </w:pPr>
      <w:rPr>
        <w:rFonts w:ascii="Symbol" w:hAnsi="Symbol" w:hint="default"/>
      </w:rPr>
    </w:lvl>
    <w:lvl w:ilvl="4" w:tplc="EA5EB800" w:tentative="1">
      <w:start w:val="1"/>
      <w:numFmt w:val="bullet"/>
      <w:lvlText w:val="o"/>
      <w:lvlJc w:val="left"/>
      <w:pPr>
        <w:ind w:left="4230" w:hanging="360"/>
      </w:pPr>
      <w:rPr>
        <w:rFonts w:ascii="Courier New" w:hAnsi="Courier New" w:cs="Courier New" w:hint="default"/>
      </w:rPr>
    </w:lvl>
    <w:lvl w:ilvl="5" w:tplc="813E89C8" w:tentative="1">
      <w:start w:val="1"/>
      <w:numFmt w:val="bullet"/>
      <w:lvlText w:val=""/>
      <w:lvlJc w:val="left"/>
      <w:pPr>
        <w:ind w:left="4950" w:hanging="360"/>
      </w:pPr>
      <w:rPr>
        <w:rFonts w:ascii="Wingdings" w:hAnsi="Wingdings" w:hint="default"/>
      </w:rPr>
    </w:lvl>
    <w:lvl w:ilvl="6" w:tplc="5F3283A0" w:tentative="1">
      <w:start w:val="1"/>
      <w:numFmt w:val="bullet"/>
      <w:lvlText w:val=""/>
      <w:lvlJc w:val="left"/>
      <w:pPr>
        <w:ind w:left="5670" w:hanging="360"/>
      </w:pPr>
      <w:rPr>
        <w:rFonts w:ascii="Symbol" w:hAnsi="Symbol" w:hint="default"/>
      </w:rPr>
    </w:lvl>
    <w:lvl w:ilvl="7" w:tplc="27B22F7C" w:tentative="1">
      <w:start w:val="1"/>
      <w:numFmt w:val="bullet"/>
      <w:lvlText w:val="o"/>
      <w:lvlJc w:val="left"/>
      <w:pPr>
        <w:ind w:left="6390" w:hanging="360"/>
      </w:pPr>
      <w:rPr>
        <w:rFonts w:ascii="Courier New" w:hAnsi="Courier New" w:cs="Courier New" w:hint="default"/>
      </w:rPr>
    </w:lvl>
    <w:lvl w:ilvl="8" w:tplc="F268203C" w:tentative="1">
      <w:start w:val="1"/>
      <w:numFmt w:val="bullet"/>
      <w:lvlText w:val=""/>
      <w:lvlJc w:val="left"/>
      <w:pPr>
        <w:ind w:left="7110" w:hanging="360"/>
      </w:pPr>
      <w:rPr>
        <w:rFonts w:ascii="Wingdings" w:hAnsi="Wingdings" w:hint="default"/>
      </w:rPr>
    </w:lvl>
  </w:abstractNum>
  <w:abstractNum w:abstractNumId="7" w15:restartNumberingAfterBreak="0">
    <w:nsid w:val="1AA327BD"/>
    <w:multiLevelType w:val="multilevel"/>
    <w:tmpl w:val="5E0EC2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40206"/>
    <w:multiLevelType w:val="hybridMultilevel"/>
    <w:tmpl w:val="C226E708"/>
    <w:lvl w:ilvl="0" w:tplc="C48600AA">
      <w:start w:val="1"/>
      <w:numFmt w:val="bullet"/>
      <w:lvlText w:val=""/>
      <w:lvlJc w:val="left"/>
      <w:pPr>
        <w:ind w:left="720" w:hanging="360"/>
      </w:pPr>
      <w:rPr>
        <w:rFonts w:ascii="Symbol" w:hAnsi="Symbol" w:hint="default"/>
      </w:rPr>
    </w:lvl>
    <w:lvl w:ilvl="1" w:tplc="D3201D84" w:tentative="1">
      <w:start w:val="1"/>
      <w:numFmt w:val="bullet"/>
      <w:lvlText w:val="o"/>
      <w:lvlJc w:val="left"/>
      <w:pPr>
        <w:ind w:left="1440" w:hanging="360"/>
      </w:pPr>
      <w:rPr>
        <w:rFonts w:ascii="Courier New" w:hAnsi="Courier New" w:cs="Courier New" w:hint="default"/>
      </w:rPr>
    </w:lvl>
    <w:lvl w:ilvl="2" w:tplc="A15846B2" w:tentative="1">
      <w:start w:val="1"/>
      <w:numFmt w:val="bullet"/>
      <w:lvlText w:val=""/>
      <w:lvlJc w:val="left"/>
      <w:pPr>
        <w:ind w:left="2160" w:hanging="360"/>
      </w:pPr>
      <w:rPr>
        <w:rFonts w:ascii="Wingdings" w:hAnsi="Wingdings" w:hint="default"/>
      </w:rPr>
    </w:lvl>
    <w:lvl w:ilvl="3" w:tplc="826E5D78" w:tentative="1">
      <w:start w:val="1"/>
      <w:numFmt w:val="bullet"/>
      <w:lvlText w:val=""/>
      <w:lvlJc w:val="left"/>
      <w:pPr>
        <w:ind w:left="2880" w:hanging="360"/>
      </w:pPr>
      <w:rPr>
        <w:rFonts w:ascii="Symbol" w:hAnsi="Symbol" w:hint="default"/>
      </w:rPr>
    </w:lvl>
    <w:lvl w:ilvl="4" w:tplc="40767AEA" w:tentative="1">
      <w:start w:val="1"/>
      <w:numFmt w:val="bullet"/>
      <w:lvlText w:val="o"/>
      <w:lvlJc w:val="left"/>
      <w:pPr>
        <w:ind w:left="3600" w:hanging="360"/>
      </w:pPr>
      <w:rPr>
        <w:rFonts w:ascii="Courier New" w:hAnsi="Courier New" w:cs="Courier New" w:hint="default"/>
      </w:rPr>
    </w:lvl>
    <w:lvl w:ilvl="5" w:tplc="FC2A6098" w:tentative="1">
      <w:start w:val="1"/>
      <w:numFmt w:val="bullet"/>
      <w:lvlText w:val=""/>
      <w:lvlJc w:val="left"/>
      <w:pPr>
        <w:ind w:left="4320" w:hanging="360"/>
      </w:pPr>
      <w:rPr>
        <w:rFonts w:ascii="Wingdings" w:hAnsi="Wingdings" w:hint="default"/>
      </w:rPr>
    </w:lvl>
    <w:lvl w:ilvl="6" w:tplc="4490B12E" w:tentative="1">
      <w:start w:val="1"/>
      <w:numFmt w:val="bullet"/>
      <w:lvlText w:val=""/>
      <w:lvlJc w:val="left"/>
      <w:pPr>
        <w:ind w:left="5040" w:hanging="360"/>
      </w:pPr>
      <w:rPr>
        <w:rFonts w:ascii="Symbol" w:hAnsi="Symbol" w:hint="default"/>
      </w:rPr>
    </w:lvl>
    <w:lvl w:ilvl="7" w:tplc="D67CE78C" w:tentative="1">
      <w:start w:val="1"/>
      <w:numFmt w:val="bullet"/>
      <w:lvlText w:val="o"/>
      <w:lvlJc w:val="left"/>
      <w:pPr>
        <w:ind w:left="5760" w:hanging="360"/>
      </w:pPr>
      <w:rPr>
        <w:rFonts w:ascii="Courier New" w:hAnsi="Courier New" w:cs="Courier New" w:hint="default"/>
      </w:rPr>
    </w:lvl>
    <w:lvl w:ilvl="8" w:tplc="A540F3E6" w:tentative="1">
      <w:start w:val="1"/>
      <w:numFmt w:val="bullet"/>
      <w:lvlText w:val=""/>
      <w:lvlJc w:val="left"/>
      <w:pPr>
        <w:ind w:left="6480" w:hanging="360"/>
      </w:pPr>
      <w:rPr>
        <w:rFonts w:ascii="Wingdings" w:hAnsi="Wingdings" w:hint="default"/>
      </w:rPr>
    </w:lvl>
  </w:abstractNum>
  <w:abstractNum w:abstractNumId="9" w15:restartNumberingAfterBreak="0">
    <w:nsid w:val="3AB85A09"/>
    <w:multiLevelType w:val="hybridMultilevel"/>
    <w:tmpl w:val="BBC0548A"/>
    <w:lvl w:ilvl="0" w:tplc="B7B89E54">
      <w:start w:val="1"/>
      <w:numFmt w:val="bullet"/>
      <w:lvlText w:val=""/>
      <w:lvlJc w:val="left"/>
      <w:pPr>
        <w:ind w:left="816" w:hanging="360"/>
      </w:pPr>
      <w:rPr>
        <w:rFonts w:ascii="Symbol" w:hAnsi="Symbol" w:hint="default"/>
      </w:rPr>
    </w:lvl>
    <w:lvl w:ilvl="1" w:tplc="95C4E3C2" w:tentative="1">
      <w:start w:val="1"/>
      <w:numFmt w:val="bullet"/>
      <w:lvlText w:val="o"/>
      <w:lvlJc w:val="left"/>
      <w:pPr>
        <w:ind w:left="1536" w:hanging="360"/>
      </w:pPr>
      <w:rPr>
        <w:rFonts w:ascii="Courier New" w:hAnsi="Courier New" w:cs="Courier New" w:hint="default"/>
      </w:rPr>
    </w:lvl>
    <w:lvl w:ilvl="2" w:tplc="4E2C4F62" w:tentative="1">
      <w:start w:val="1"/>
      <w:numFmt w:val="bullet"/>
      <w:lvlText w:val=""/>
      <w:lvlJc w:val="left"/>
      <w:pPr>
        <w:ind w:left="2256" w:hanging="360"/>
      </w:pPr>
      <w:rPr>
        <w:rFonts w:ascii="Wingdings" w:hAnsi="Wingdings" w:hint="default"/>
      </w:rPr>
    </w:lvl>
    <w:lvl w:ilvl="3" w:tplc="B73AABD2" w:tentative="1">
      <w:start w:val="1"/>
      <w:numFmt w:val="bullet"/>
      <w:lvlText w:val=""/>
      <w:lvlJc w:val="left"/>
      <w:pPr>
        <w:ind w:left="2976" w:hanging="360"/>
      </w:pPr>
      <w:rPr>
        <w:rFonts w:ascii="Symbol" w:hAnsi="Symbol" w:hint="default"/>
      </w:rPr>
    </w:lvl>
    <w:lvl w:ilvl="4" w:tplc="4976BF6C" w:tentative="1">
      <w:start w:val="1"/>
      <w:numFmt w:val="bullet"/>
      <w:lvlText w:val="o"/>
      <w:lvlJc w:val="left"/>
      <w:pPr>
        <w:ind w:left="3696" w:hanging="360"/>
      </w:pPr>
      <w:rPr>
        <w:rFonts w:ascii="Courier New" w:hAnsi="Courier New" w:cs="Courier New" w:hint="default"/>
      </w:rPr>
    </w:lvl>
    <w:lvl w:ilvl="5" w:tplc="17A6B5D2" w:tentative="1">
      <w:start w:val="1"/>
      <w:numFmt w:val="bullet"/>
      <w:lvlText w:val=""/>
      <w:lvlJc w:val="left"/>
      <w:pPr>
        <w:ind w:left="4416" w:hanging="360"/>
      </w:pPr>
      <w:rPr>
        <w:rFonts w:ascii="Wingdings" w:hAnsi="Wingdings" w:hint="default"/>
      </w:rPr>
    </w:lvl>
    <w:lvl w:ilvl="6" w:tplc="DA5A5166" w:tentative="1">
      <w:start w:val="1"/>
      <w:numFmt w:val="bullet"/>
      <w:lvlText w:val=""/>
      <w:lvlJc w:val="left"/>
      <w:pPr>
        <w:ind w:left="5136" w:hanging="360"/>
      </w:pPr>
      <w:rPr>
        <w:rFonts w:ascii="Symbol" w:hAnsi="Symbol" w:hint="default"/>
      </w:rPr>
    </w:lvl>
    <w:lvl w:ilvl="7" w:tplc="347E1C7A" w:tentative="1">
      <w:start w:val="1"/>
      <w:numFmt w:val="bullet"/>
      <w:lvlText w:val="o"/>
      <w:lvlJc w:val="left"/>
      <w:pPr>
        <w:ind w:left="5856" w:hanging="360"/>
      </w:pPr>
      <w:rPr>
        <w:rFonts w:ascii="Courier New" w:hAnsi="Courier New" w:cs="Courier New" w:hint="default"/>
      </w:rPr>
    </w:lvl>
    <w:lvl w:ilvl="8" w:tplc="EE9A1666" w:tentative="1">
      <w:start w:val="1"/>
      <w:numFmt w:val="bullet"/>
      <w:lvlText w:val=""/>
      <w:lvlJc w:val="left"/>
      <w:pPr>
        <w:ind w:left="6576" w:hanging="360"/>
      </w:pPr>
      <w:rPr>
        <w:rFonts w:ascii="Wingdings" w:hAnsi="Wingdings" w:hint="default"/>
      </w:rPr>
    </w:lvl>
  </w:abstractNum>
  <w:abstractNum w:abstractNumId="10" w15:restartNumberingAfterBreak="0">
    <w:nsid w:val="4380509C"/>
    <w:multiLevelType w:val="multilevel"/>
    <w:tmpl w:val="0409001D"/>
    <w:numStyleLink w:val="Style3"/>
  </w:abstractNum>
  <w:abstractNum w:abstractNumId="11"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8601A1"/>
    <w:multiLevelType w:val="hybridMultilevel"/>
    <w:tmpl w:val="43CE94D6"/>
    <w:lvl w:ilvl="0" w:tplc="C46AC82A">
      <w:start w:val="1"/>
      <w:numFmt w:val="bullet"/>
      <w:lvlText w:val=""/>
      <w:lvlJc w:val="left"/>
      <w:pPr>
        <w:ind w:left="720" w:hanging="360"/>
      </w:pPr>
      <w:rPr>
        <w:rFonts w:ascii="Symbol" w:hAnsi="Symbol" w:hint="default"/>
      </w:rPr>
    </w:lvl>
    <w:lvl w:ilvl="1" w:tplc="88C6A80A">
      <w:start w:val="1"/>
      <w:numFmt w:val="bullet"/>
      <w:lvlText w:val="o"/>
      <w:lvlJc w:val="left"/>
      <w:pPr>
        <w:ind w:left="1440" w:hanging="360"/>
      </w:pPr>
      <w:rPr>
        <w:rFonts w:ascii="Courier New" w:hAnsi="Courier New" w:hint="default"/>
      </w:rPr>
    </w:lvl>
    <w:lvl w:ilvl="2" w:tplc="2A7644EA" w:tentative="1">
      <w:start w:val="1"/>
      <w:numFmt w:val="bullet"/>
      <w:lvlText w:val=""/>
      <w:lvlJc w:val="left"/>
      <w:pPr>
        <w:ind w:left="2160" w:hanging="360"/>
      </w:pPr>
      <w:rPr>
        <w:rFonts w:ascii="Wingdings" w:hAnsi="Wingdings" w:hint="default"/>
      </w:rPr>
    </w:lvl>
    <w:lvl w:ilvl="3" w:tplc="226AB4DA" w:tentative="1">
      <w:start w:val="1"/>
      <w:numFmt w:val="bullet"/>
      <w:lvlText w:val=""/>
      <w:lvlJc w:val="left"/>
      <w:pPr>
        <w:ind w:left="2880" w:hanging="360"/>
      </w:pPr>
      <w:rPr>
        <w:rFonts w:ascii="Symbol" w:hAnsi="Symbol" w:hint="default"/>
      </w:rPr>
    </w:lvl>
    <w:lvl w:ilvl="4" w:tplc="C31E0DE4" w:tentative="1">
      <w:start w:val="1"/>
      <w:numFmt w:val="bullet"/>
      <w:lvlText w:val="o"/>
      <w:lvlJc w:val="left"/>
      <w:pPr>
        <w:ind w:left="3600" w:hanging="360"/>
      </w:pPr>
      <w:rPr>
        <w:rFonts w:ascii="Courier New" w:hAnsi="Courier New" w:cs="Courier New" w:hint="default"/>
      </w:rPr>
    </w:lvl>
    <w:lvl w:ilvl="5" w:tplc="2FE4C7FA" w:tentative="1">
      <w:start w:val="1"/>
      <w:numFmt w:val="bullet"/>
      <w:lvlText w:val=""/>
      <w:lvlJc w:val="left"/>
      <w:pPr>
        <w:ind w:left="4320" w:hanging="360"/>
      </w:pPr>
      <w:rPr>
        <w:rFonts w:ascii="Wingdings" w:hAnsi="Wingdings" w:hint="default"/>
      </w:rPr>
    </w:lvl>
    <w:lvl w:ilvl="6" w:tplc="671AD1A8" w:tentative="1">
      <w:start w:val="1"/>
      <w:numFmt w:val="bullet"/>
      <w:lvlText w:val=""/>
      <w:lvlJc w:val="left"/>
      <w:pPr>
        <w:ind w:left="5040" w:hanging="360"/>
      </w:pPr>
      <w:rPr>
        <w:rFonts w:ascii="Symbol" w:hAnsi="Symbol" w:hint="default"/>
      </w:rPr>
    </w:lvl>
    <w:lvl w:ilvl="7" w:tplc="C5CCAF46" w:tentative="1">
      <w:start w:val="1"/>
      <w:numFmt w:val="bullet"/>
      <w:lvlText w:val="o"/>
      <w:lvlJc w:val="left"/>
      <w:pPr>
        <w:ind w:left="5760" w:hanging="360"/>
      </w:pPr>
      <w:rPr>
        <w:rFonts w:ascii="Courier New" w:hAnsi="Courier New" w:cs="Courier New" w:hint="default"/>
      </w:rPr>
    </w:lvl>
    <w:lvl w:ilvl="8" w:tplc="B6A2F34C" w:tentative="1">
      <w:start w:val="1"/>
      <w:numFmt w:val="bullet"/>
      <w:lvlText w:val=""/>
      <w:lvlJc w:val="left"/>
      <w:pPr>
        <w:ind w:left="6480" w:hanging="360"/>
      </w:pPr>
      <w:rPr>
        <w:rFonts w:ascii="Wingdings" w:hAnsi="Wingdings" w:hint="default"/>
      </w:rPr>
    </w:lvl>
  </w:abstractNum>
  <w:abstractNum w:abstractNumId="13" w15:restartNumberingAfterBreak="0">
    <w:nsid w:val="4E624744"/>
    <w:multiLevelType w:val="hybridMultilevel"/>
    <w:tmpl w:val="D67CDEAC"/>
    <w:lvl w:ilvl="0" w:tplc="22AC6756">
      <w:start w:val="1"/>
      <w:numFmt w:val="bullet"/>
      <w:pStyle w:val="Xbox"/>
      <w:lvlText w:val=""/>
      <w:lvlJc w:val="left"/>
      <w:pPr>
        <w:ind w:left="540" w:hanging="360"/>
      </w:pPr>
      <w:rPr>
        <w:rFonts w:ascii="Wingdings" w:hAnsi="Wingdings" w:hint="default"/>
        <w:color w:val="BD6363"/>
        <w:sz w:val="28"/>
      </w:rPr>
    </w:lvl>
    <w:lvl w:ilvl="1" w:tplc="EBC21AD8">
      <w:start w:val="1"/>
      <w:numFmt w:val="bullet"/>
      <w:lvlText w:val="o"/>
      <w:lvlJc w:val="left"/>
      <w:pPr>
        <w:ind w:left="1440" w:hanging="360"/>
      </w:pPr>
      <w:rPr>
        <w:rFonts w:ascii="Courier New" w:hAnsi="Courier New" w:cs="Courier New" w:hint="default"/>
      </w:rPr>
    </w:lvl>
    <w:lvl w:ilvl="2" w:tplc="24DC962A" w:tentative="1">
      <w:start w:val="1"/>
      <w:numFmt w:val="bullet"/>
      <w:lvlText w:val=""/>
      <w:lvlJc w:val="left"/>
      <w:pPr>
        <w:ind w:left="2160" w:hanging="360"/>
      </w:pPr>
      <w:rPr>
        <w:rFonts w:ascii="Wingdings" w:hAnsi="Wingdings" w:hint="default"/>
      </w:rPr>
    </w:lvl>
    <w:lvl w:ilvl="3" w:tplc="4EDA5C20" w:tentative="1">
      <w:start w:val="1"/>
      <w:numFmt w:val="bullet"/>
      <w:lvlText w:val=""/>
      <w:lvlJc w:val="left"/>
      <w:pPr>
        <w:ind w:left="2880" w:hanging="360"/>
      </w:pPr>
      <w:rPr>
        <w:rFonts w:ascii="Symbol" w:hAnsi="Symbol" w:hint="default"/>
      </w:rPr>
    </w:lvl>
    <w:lvl w:ilvl="4" w:tplc="968A9A10" w:tentative="1">
      <w:start w:val="1"/>
      <w:numFmt w:val="bullet"/>
      <w:lvlText w:val="o"/>
      <w:lvlJc w:val="left"/>
      <w:pPr>
        <w:ind w:left="3600" w:hanging="360"/>
      </w:pPr>
      <w:rPr>
        <w:rFonts w:ascii="Courier New" w:hAnsi="Courier New" w:cs="Courier New" w:hint="default"/>
      </w:rPr>
    </w:lvl>
    <w:lvl w:ilvl="5" w:tplc="EE5E3D6A" w:tentative="1">
      <w:start w:val="1"/>
      <w:numFmt w:val="bullet"/>
      <w:lvlText w:val=""/>
      <w:lvlJc w:val="left"/>
      <w:pPr>
        <w:ind w:left="4320" w:hanging="360"/>
      </w:pPr>
      <w:rPr>
        <w:rFonts w:ascii="Wingdings" w:hAnsi="Wingdings" w:hint="default"/>
      </w:rPr>
    </w:lvl>
    <w:lvl w:ilvl="6" w:tplc="8ACA1282" w:tentative="1">
      <w:start w:val="1"/>
      <w:numFmt w:val="bullet"/>
      <w:lvlText w:val=""/>
      <w:lvlJc w:val="left"/>
      <w:pPr>
        <w:ind w:left="5040" w:hanging="360"/>
      </w:pPr>
      <w:rPr>
        <w:rFonts w:ascii="Symbol" w:hAnsi="Symbol" w:hint="default"/>
      </w:rPr>
    </w:lvl>
    <w:lvl w:ilvl="7" w:tplc="67FEDB82" w:tentative="1">
      <w:start w:val="1"/>
      <w:numFmt w:val="bullet"/>
      <w:lvlText w:val="o"/>
      <w:lvlJc w:val="left"/>
      <w:pPr>
        <w:ind w:left="5760" w:hanging="360"/>
      </w:pPr>
      <w:rPr>
        <w:rFonts w:ascii="Courier New" w:hAnsi="Courier New" w:cs="Courier New" w:hint="default"/>
      </w:rPr>
    </w:lvl>
    <w:lvl w:ilvl="8" w:tplc="855A5B6E" w:tentative="1">
      <w:start w:val="1"/>
      <w:numFmt w:val="bullet"/>
      <w:lvlText w:val=""/>
      <w:lvlJc w:val="left"/>
      <w:pPr>
        <w:ind w:left="6480" w:hanging="360"/>
      </w:pPr>
      <w:rPr>
        <w:rFonts w:ascii="Wingdings" w:hAnsi="Wingdings" w:hint="default"/>
      </w:rPr>
    </w:lvl>
  </w:abstractNum>
  <w:abstractNum w:abstractNumId="14" w15:restartNumberingAfterBreak="0">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D41DC0"/>
    <w:multiLevelType w:val="multilevel"/>
    <w:tmpl w:val="B13CDD56"/>
    <w:numStyleLink w:val="BulletedList"/>
  </w:abstractNum>
  <w:abstractNum w:abstractNumId="16" w15:restartNumberingAfterBreak="0">
    <w:nsid w:val="706E0AA3"/>
    <w:multiLevelType w:val="hybridMultilevel"/>
    <w:tmpl w:val="839A40D6"/>
    <w:lvl w:ilvl="0" w:tplc="78A864C6">
      <w:start w:val="1"/>
      <w:numFmt w:val="bullet"/>
      <w:lvlText w:val=""/>
      <w:lvlJc w:val="left"/>
      <w:pPr>
        <w:ind w:left="720" w:hanging="360"/>
      </w:pPr>
      <w:rPr>
        <w:rFonts w:ascii="Symbol" w:hAnsi="Symbol" w:hint="default"/>
        <w:color w:val="5083C9"/>
      </w:rPr>
    </w:lvl>
    <w:lvl w:ilvl="1" w:tplc="843C8390" w:tentative="1">
      <w:start w:val="1"/>
      <w:numFmt w:val="bullet"/>
      <w:lvlText w:val="o"/>
      <w:lvlJc w:val="left"/>
      <w:pPr>
        <w:ind w:left="1440" w:hanging="360"/>
      </w:pPr>
      <w:rPr>
        <w:rFonts w:ascii="Courier New" w:hAnsi="Courier New" w:cs="Courier New" w:hint="default"/>
      </w:rPr>
    </w:lvl>
    <w:lvl w:ilvl="2" w:tplc="BE707180" w:tentative="1">
      <w:start w:val="1"/>
      <w:numFmt w:val="bullet"/>
      <w:lvlText w:val=""/>
      <w:lvlJc w:val="left"/>
      <w:pPr>
        <w:ind w:left="2160" w:hanging="360"/>
      </w:pPr>
      <w:rPr>
        <w:rFonts w:ascii="Wingdings" w:hAnsi="Wingdings" w:hint="default"/>
      </w:rPr>
    </w:lvl>
    <w:lvl w:ilvl="3" w:tplc="DA64ED08" w:tentative="1">
      <w:start w:val="1"/>
      <w:numFmt w:val="bullet"/>
      <w:lvlText w:val=""/>
      <w:lvlJc w:val="left"/>
      <w:pPr>
        <w:ind w:left="2880" w:hanging="360"/>
      </w:pPr>
      <w:rPr>
        <w:rFonts w:ascii="Symbol" w:hAnsi="Symbol" w:hint="default"/>
      </w:rPr>
    </w:lvl>
    <w:lvl w:ilvl="4" w:tplc="D9702992" w:tentative="1">
      <w:start w:val="1"/>
      <w:numFmt w:val="bullet"/>
      <w:lvlText w:val="o"/>
      <w:lvlJc w:val="left"/>
      <w:pPr>
        <w:ind w:left="3600" w:hanging="360"/>
      </w:pPr>
      <w:rPr>
        <w:rFonts w:ascii="Courier New" w:hAnsi="Courier New" w:cs="Courier New" w:hint="default"/>
      </w:rPr>
    </w:lvl>
    <w:lvl w:ilvl="5" w:tplc="4E36E406" w:tentative="1">
      <w:start w:val="1"/>
      <w:numFmt w:val="bullet"/>
      <w:lvlText w:val=""/>
      <w:lvlJc w:val="left"/>
      <w:pPr>
        <w:ind w:left="4320" w:hanging="360"/>
      </w:pPr>
      <w:rPr>
        <w:rFonts w:ascii="Wingdings" w:hAnsi="Wingdings" w:hint="default"/>
      </w:rPr>
    </w:lvl>
    <w:lvl w:ilvl="6" w:tplc="69E85F64" w:tentative="1">
      <w:start w:val="1"/>
      <w:numFmt w:val="bullet"/>
      <w:lvlText w:val=""/>
      <w:lvlJc w:val="left"/>
      <w:pPr>
        <w:ind w:left="5040" w:hanging="360"/>
      </w:pPr>
      <w:rPr>
        <w:rFonts w:ascii="Symbol" w:hAnsi="Symbol" w:hint="default"/>
      </w:rPr>
    </w:lvl>
    <w:lvl w:ilvl="7" w:tplc="E59C4A24" w:tentative="1">
      <w:start w:val="1"/>
      <w:numFmt w:val="bullet"/>
      <w:lvlText w:val="o"/>
      <w:lvlJc w:val="left"/>
      <w:pPr>
        <w:ind w:left="5760" w:hanging="360"/>
      </w:pPr>
      <w:rPr>
        <w:rFonts w:ascii="Courier New" w:hAnsi="Courier New" w:cs="Courier New" w:hint="default"/>
      </w:rPr>
    </w:lvl>
    <w:lvl w:ilvl="8" w:tplc="976A5A56" w:tentative="1">
      <w:start w:val="1"/>
      <w:numFmt w:val="bullet"/>
      <w:lvlText w:val=""/>
      <w:lvlJc w:val="left"/>
      <w:pPr>
        <w:ind w:left="6480" w:hanging="360"/>
      </w:pPr>
      <w:rPr>
        <w:rFonts w:ascii="Wingdings" w:hAnsi="Wingdings" w:hint="default"/>
      </w:rPr>
    </w:lvl>
  </w:abstractNum>
  <w:abstractNum w:abstractNumId="17" w15:restartNumberingAfterBreak="0">
    <w:nsid w:val="772F0980"/>
    <w:multiLevelType w:val="multilevel"/>
    <w:tmpl w:val="0409001D"/>
    <w:styleLink w:val="Style3"/>
    <w:lvl w:ilvl="0">
      <w:start w:val="1"/>
      <w:numFmt w:val="bullet"/>
      <w:pStyle w:val="Checkmark"/>
      <w:lvlText w:val=""/>
      <w:lvlPicBulletId w:val="0"/>
      <w:lvlJc w:val="left"/>
      <w:pPr>
        <w:ind w:left="360" w:hanging="360"/>
      </w:pPr>
      <w:rPr>
        <w:rFonts w:ascii="Symbol" w:hAnsi="Symbol" w:hint="default"/>
        <w:color w:val="auto"/>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48530C"/>
    <w:multiLevelType w:val="multilevel"/>
    <w:tmpl w:val="B13CDD56"/>
    <w:numStyleLink w:val="BulletedList"/>
  </w:abstractNum>
  <w:num w:numId="1">
    <w:abstractNumId w:val="3"/>
  </w:num>
  <w:num w:numId="2">
    <w:abstractNumId w:val="12"/>
  </w:num>
  <w:num w:numId="3">
    <w:abstractNumId w:val="6"/>
  </w:num>
  <w:num w:numId="4">
    <w:abstractNumId w:val="13"/>
  </w:num>
  <w:num w:numId="5">
    <w:abstractNumId w:val="16"/>
  </w:num>
  <w:num w:numId="6">
    <w:abstractNumId w:val="7"/>
  </w:num>
  <w:num w:numId="7">
    <w:abstractNumId w:val="14"/>
  </w:num>
  <w:num w:numId="8">
    <w:abstractNumId w:val="11"/>
  </w:num>
  <w:num w:numId="9">
    <w:abstractNumId w:val="1"/>
  </w:num>
  <w:num w:numId="10">
    <w:abstractNumId w:val="2"/>
  </w:num>
  <w:num w:numId="11">
    <w:abstractNumId w:val="15"/>
  </w:num>
  <w:num w:numId="12">
    <w:abstractNumId w:val="5"/>
  </w:num>
  <w:num w:numId="13">
    <w:abstractNumId w:val="4"/>
  </w:num>
  <w:num w:numId="14">
    <w:abstractNumId w:val="18"/>
  </w:num>
  <w:num w:numId="15">
    <w:abstractNumId w:val="0"/>
  </w:num>
  <w:num w:numId="16">
    <w:abstractNumId w:val="10"/>
  </w:num>
  <w:num w:numId="17">
    <w:abstractNumId w:val="17"/>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3D"/>
    <w:rsid w:val="00011B6E"/>
    <w:rsid w:val="00022BAB"/>
    <w:rsid w:val="00037A6B"/>
    <w:rsid w:val="00043895"/>
    <w:rsid w:val="00060CCE"/>
    <w:rsid w:val="00066AF2"/>
    <w:rsid w:val="00090E64"/>
    <w:rsid w:val="000A2B40"/>
    <w:rsid w:val="000A415A"/>
    <w:rsid w:val="000A4FF8"/>
    <w:rsid w:val="000C601C"/>
    <w:rsid w:val="000E3B35"/>
    <w:rsid w:val="000F2585"/>
    <w:rsid w:val="00110963"/>
    <w:rsid w:val="0012162D"/>
    <w:rsid w:val="001251F8"/>
    <w:rsid w:val="00127CA1"/>
    <w:rsid w:val="00144E64"/>
    <w:rsid w:val="00146603"/>
    <w:rsid w:val="00150559"/>
    <w:rsid w:val="00171781"/>
    <w:rsid w:val="001725D9"/>
    <w:rsid w:val="0019007E"/>
    <w:rsid w:val="001A0684"/>
    <w:rsid w:val="001B1A7E"/>
    <w:rsid w:val="001B200A"/>
    <w:rsid w:val="001C1CC9"/>
    <w:rsid w:val="001E71F6"/>
    <w:rsid w:val="00203908"/>
    <w:rsid w:val="002202E6"/>
    <w:rsid w:val="00230CE5"/>
    <w:rsid w:val="00236CE6"/>
    <w:rsid w:val="0024208C"/>
    <w:rsid w:val="0026000D"/>
    <w:rsid w:val="00267C01"/>
    <w:rsid w:val="00277FA3"/>
    <w:rsid w:val="00282C22"/>
    <w:rsid w:val="00285462"/>
    <w:rsid w:val="002B1ACB"/>
    <w:rsid w:val="002B32A8"/>
    <w:rsid w:val="002C002A"/>
    <w:rsid w:val="002C4E77"/>
    <w:rsid w:val="002C76C0"/>
    <w:rsid w:val="002D747F"/>
    <w:rsid w:val="002F02F6"/>
    <w:rsid w:val="002F0A3E"/>
    <w:rsid w:val="00306553"/>
    <w:rsid w:val="003267EB"/>
    <w:rsid w:val="0035530B"/>
    <w:rsid w:val="003722E3"/>
    <w:rsid w:val="0037553A"/>
    <w:rsid w:val="003A6B72"/>
    <w:rsid w:val="003C10A8"/>
    <w:rsid w:val="003D13F6"/>
    <w:rsid w:val="003D3CB5"/>
    <w:rsid w:val="0040083C"/>
    <w:rsid w:val="00422541"/>
    <w:rsid w:val="00430BC5"/>
    <w:rsid w:val="00441851"/>
    <w:rsid w:val="00456131"/>
    <w:rsid w:val="00467D27"/>
    <w:rsid w:val="0048101F"/>
    <w:rsid w:val="004833FD"/>
    <w:rsid w:val="004842EC"/>
    <w:rsid w:val="00485C3A"/>
    <w:rsid w:val="0049654B"/>
    <w:rsid w:val="004967FA"/>
    <w:rsid w:val="004A6937"/>
    <w:rsid w:val="004B125C"/>
    <w:rsid w:val="004B2220"/>
    <w:rsid w:val="004D133C"/>
    <w:rsid w:val="004F4A3D"/>
    <w:rsid w:val="005019F9"/>
    <w:rsid w:val="00515EBD"/>
    <w:rsid w:val="00534014"/>
    <w:rsid w:val="005562F1"/>
    <w:rsid w:val="00574C31"/>
    <w:rsid w:val="005822E7"/>
    <w:rsid w:val="00584B55"/>
    <w:rsid w:val="00585290"/>
    <w:rsid w:val="005879F0"/>
    <w:rsid w:val="005A1F47"/>
    <w:rsid w:val="005D05D9"/>
    <w:rsid w:val="005D4FD5"/>
    <w:rsid w:val="005E3838"/>
    <w:rsid w:val="005E5147"/>
    <w:rsid w:val="005F4596"/>
    <w:rsid w:val="00617267"/>
    <w:rsid w:val="00635C4D"/>
    <w:rsid w:val="0065431B"/>
    <w:rsid w:val="006A407C"/>
    <w:rsid w:val="006A63B4"/>
    <w:rsid w:val="006C6717"/>
    <w:rsid w:val="006E05C3"/>
    <w:rsid w:val="006E698D"/>
    <w:rsid w:val="006F12D3"/>
    <w:rsid w:val="00707343"/>
    <w:rsid w:val="00721AB6"/>
    <w:rsid w:val="007318F0"/>
    <w:rsid w:val="00732BAF"/>
    <w:rsid w:val="00755304"/>
    <w:rsid w:val="00761E49"/>
    <w:rsid w:val="00765B53"/>
    <w:rsid w:val="00791090"/>
    <w:rsid w:val="00791D5F"/>
    <w:rsid w:val="00795614"/>
    <w:rsid w:val="007B1F8A"/>
    <w:rsid w:val="007B5200"/>
    <w:rsid w:val="007C4939"/>
    <w:rsid w:val="007C7890"/>
    <w:rsid w:val="007D1039"/>
    <w:rsid w:val="007D306E"/>
    <w:rsid w:val="007D5EFD"/>
    <w:rsid w:val="007E2E0D"/>
    <w:rsid w:val="007F185F"/>
    <w:rsid w:val="007F7D78"/>
    <w:rsid w:val="00802FF0"/>
    <w:rsid w:val="00817032"/>
    <w:rsid w:val="00817EEE"/>
    <w:rsid w:val="00826394"/>
    <w:rsid w:val="008426BE"/>
    <w:rsid w:val="00842B52"/>
    <w:rsid w:val="00844896"/>
    <w:rsid w:val="00850B3C"/>
    <w:rsid w:val="008536B8"/>
    <w:rsid w:val="00870D59"/>
    <w:rsid w:val="008763E8"/>
    <w:rsid w:val="00892115"/>
    <w:rsid w:val="00892FD1"/>
    <w:rsid w:val="00896CEC"/>
    <w:rsid w:val="008A669E"/>
    <w:rsid w:val="008A7E71"/>
    <w:rsid w:val="008B3699"/>
    <w:rsid w:val="008E4994"/>
    <w:rsid w:val="008F7B15"/>
    <w:rsid w:val="00914E5D"/>
    <w:rsid w:val="00923490"/>
    <w:rsid w:val="00926535"/>
    <w:rsid w:val="00943082"/>
    <w:rsid w:val="00946818"/>
    <w:rsid w:val="00947E11"/>
    <w:rsid w:val="00962E99"/>
    <w:rsid w:val="00963B8C"/>
    <w:rsid w:val="009704B8"/>
    <w:rsid w:val="0098636D"/>
    <w:rsid w:val="00993033"/>
    <w:rsid w:val="00994E35"/>
    <w:rsid w:val="009B04C4"/>
    <w:rsid w:val="009B528F"/>
    <w:rsid w:val="009C1BF1"/>
    <w:rsid w:val="009D4BB6"/>
    <w:rsid w:val="009E0571"/>
    <w:rsid w:val="009E4DC9"/>
    <w:rsid w:val="009F3CA3"/>
    <w:rsid w:val="00A1729B"/>
    <w:rsid w:val="00A233F0"/>
    <w:rsid w:val="00A32721"/>
    <w:rsid w:val="00A337BD"/>
    <w:rsid w:val="00A357CD"/>
    <w:rsid w:val="00A40BEB"/>
    <w:rsid w:val="00A42C82"/>
    <w:rsid w:val="00A47C53"/>
    <w:rsid w:val="00A6145B"/>
    <w:rsid w:val="00A619D3"/>
    <w:rsid w:val="00A8186B"/>
    <w:rsid w:val="00A83C9F"/>
    <w:rsid w:val="00A9581B"/>
    <w:rsid w:val="00AB70A5"/>
    <w:rsid w:val="00AC219B"/>
    <w:rsid w:val="00AC551B"/>
    <w:rsid w:val="00AD0649"/>
    <w:rsid w:val="00B0237D"/>
    <w:rsid w:val="00B15441"/>
    <w:rsid w:val="00B25E88"/>
    <w:rsid w:val="00B51EA7"/>
    <w:rsid w:val="00B93371"/>
    <w:rsid w:val="00BA161B"/>
    <w:rsid w:val="00BC26A4"/>
    <w:rsid w:val="00BC79DD"/>
    <w:rsid w:val="00BD76ED"/>
    <w:rsid w:val="00BD7ED3"/>
    <w:rsid w:val="00BE2AE9"/>
    <w:rsid w:val="00BF6864"/>
    <w:rsid w:val="00C05711"/>
    <w:rsid w:val="00C10371"/>
    <w:rsid w:val="00C11358"/>
    <w:rsid w:val="00C16FCA"/>
    <w:rsid w:val="00C30513"/>
    <w:rsid w:val="00C53B62"/>
    <w:rsid w:val="00C84C66"/>
    <w:rsid w:val="00C87B81"/>
    <w:rsid w:val="00C94609"/>
    <w:rsid w:val="00CA6306"/>
    <w:rsid w:val="00CB1ADE"/>
    <w:rsid w:val="00CB781D"/>
    <w:rsid w:val="00CD11C3"/>
    <w:rsid w:val="00CD121E"/>
    <w:rsid w:val="00CD45F4"/>
    <w:rsid w:val="00CD516A"/>
    <w:rsid w:val="00CD70AD"/>
    <w:rsid w:val="00CF11C7"/>
    <w:rsid w:val="00CF5E21"/>
    <w:rsid w:val="00D046CF"/>
    <w:rsid w:val="00D30F62"/>
    <w:rsid w:val="00D31A05"/>
    <w:rsid w:val="00D379D5"/>
    <w:rsid w:val="00D5456E"/>
    <w:rsid w:val="00D576A6"/>
    <w:rsid w:val="00D612BE"/>
    <w:rsid w:val="00D62BEA"/>
    <w:rsid w:val="00D67293"/>
    <w:rsid w:val="00D7321D"/>
    <w:rsid w:val="00D73F16"/>
    <w:rsid w:val="00D7521A"/>
    <w:rsid w:val="00D76FCB"/>
    <w:rsid w:val="00D8467E"/>
    <w:rsid w:val="00D911E1"/>
    <w:rsid w:val="00D93ACB"/>
    <w:rsid w:val="00D93B6A"/>
    <w:rsid w:val="00D940C8"/>
    <w:rsid w:val="00DB1F96"/>
    <w:rsid w:val="00DB7131"/>
    <w:rsid w:val="00DC1989"/>
    <w:rsid w:val="00DC3880"/>
    <w:rsid w:val="00DE5BB1"/>
    <w:rsid w:val="00E0477C"/>
    <w:rsid w:val="00E16E6C"/>
    <w:rsid w:val="00E23620"/>
    <w:rsid w:val="00E35483"/>
    <w:rsid w:val="00E375D9"/>
    <w:rsid w:val="00E52110"/>
    <w:rsid w:val="00E6115F"/>
    <w:rsid w:val="00E91251"/>
    <w:rsid w:val="00E9425B"/>
    <w:rsid w:val="00EA13FD"/>
    <w:rsid w:val="00EA2BB6"/>
    <w:rsid w:val="00EA4F90"/>
    <w:rsid w:val="00EB25B9"/>
    <w:rsid w:val="00EC05C9"/>
    <w:rsid w:val="00EC2053"/>
    <w:rsid w:val="00EC4F25"/>
    <w:rsid w:val="00EC717A"/>
    <w:rsid w:val="00EE4349"/>
    <w:rsid w:val="00EF43EA"/>
    <w:rsid w:val="00EF7BE8"/>
    <w:rsid w:val="00F0285F"/>
    <w:rsid w:val="00F3522B"/>
    <w:rsid w:val="00F441AD"/>
    <w:rsid w:val="00F54A11"/>
    <w:rsid w:val="00F938F7"/>
    <w:rsid w:val="00F95BA4"/>
    <w:rsid w:val="00FA1730"/>
    <w:rsid w:val="00FB161A"/>
    <w:rsid w:val="00FB3AC0"/>
    <w:rsid w:val="00FE29B4"/>
    <w:rsid w:val="00FF2183"/>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A404"/>
  <w15:chartTrackingRefBased/>
  <w15:docId w15:val="{9A97E602-0D33-4ECC-B66C-3020EC45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unhideWhenUsed/>
    <w:qFormat/>
    <w:rsid w:val="00896CEC"/>
    <w:pPr>
      <w:spacing w:before="240" w:after="0"/>
      <w:outlineLvl w:val="1"/>
    </w:pPr>
    <w:rPr>
      <w:rFonts w:ascii="Calibri" w:eastAsia="Calibri" w:hAnsi="Calibri" w:cs="Times New Roman"/>
      <w:b/>
      <w:color w:val="12A9D8"/>
      <w:sz w:val="28"/>
    </w:rPr>
  </w:style>
  <w:style w:type="paragraph" w:styleId="Heading5">
    <w:name w:val="heading 5"/>
    <w:basedOn w:val="Normal"/>
    <w:next w:val="Normal"/>
    <w:link w:val="Heading5Char"/>
    <w:uiPriority w:val="9"/>
    <w:unhideWhenUsed/>
    <w:qFormat/>
    <w:rsid w:val="00896CEC"/>
    <w:pPr>
      <w:spacing w:before="240" w:after="60"/>
      <w:outlineLvl w:val="4"/>
    </w:pPr>
    <w:rPr>
      <w:rFonts w:ascii="Calibri" w:eastAsia="Times New Roman" w:hAnsi="Calibri" w:cs="Times New Roman"/>
      <w:b/>
      <w:bCs/>
      <w:i/>
      <w:iCs/>
      <w:color w:val="595959"/>
      <w:sz w:val="26"/>
      <w:szCs w:val="26"/>
    </w:rPr>
  </w:style>
  <w:style w:type="paragraph" w:styleId="Heading6">
    <w:name w:val="heading 6"/>
    <w:basedOn w:val="Normal"/>
    <w:next w:val="Normal"/>
    <w:link w:val="Heading6Char"/>
    <w:uiPriority w:val="9"/>
    <w:unhideWhenUsed/>
    <w:qFormat/>
    <w:rsid w:val="00C3051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1A0684"/>
    <w:pPr>
      <w:spacing w:after="120" w:line="228" w:lineRule="auto"/>
    </w:pPr>
    <w:rPr>
      <w:b/>
      <w:color w:val="6F61B0"/>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1A0684"/>
    <w:rPr>
      <w:b/>
      <w:color w:val="6F61B0"/>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A619D3"/>
    <w:pPr>
      <w:numPr>
        <w:numId w:val="3"/>
      </w:numPr>
      <w:tabs>
        <w:tab w:val="left" w:pos="540"/>
      </w:tabs>
      <w:spacing w:after="160"/>
      <w:ind w:left="806" w:hanging="446"/>
      <w:contextualSpacing/>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A619D3"/>
    <w:pPr>
      <w:numPr>
        <w:numId w:val="4"/>
      </w:numPr>
      <w:ind w:left="806" w:hanging="446"/>
    </w:pPr>
  </w:style>
  <w:style w:type="character" w:customStyle="1" w:styleId="CheckboxChar">
    <w:name w:val="Checkbox Char"/>
    <w:basedOn w:val="BulletListChar"/>
    <w:link w:val="Checkbox"/>
    <w:rsid w:val="00A619D3"/>
    <w:rPr>
      <w:rFonts w:ascii="Calibri" w:eastAsia="Times New Roman" w:hAnsi="Calibri" w:cs="Arial"/>
      <w:color w:val="595959"/>
      <w:szCs w:val="20"/>
    </w:rPr>
  </w:style>
  <w:style w:type="paragraph" w:customStyle="1" w:styleId="CallOutBox">
    <w:name w:val="Call Out Box"/>
    <w:basedOn w:val="Footer"/>
    <w:link w:val="CallOutBoxChar"/>
    <w:qFormat/>
    <w:rsid w:val="00A32721"/>
    <w:pPr>
      <w:jc w:val="center"/>
    </w:pPr>
    <w:rPr>
      <w:b/>
      <w:i/>
      <w:color w:val="6F61B0"/>
      <w:sz w:val="36"/>
      <w:szCs w:val="36"/>
    </w:rPr>
  </w:style>
  <w:style w:type="character" w:customStyle="1" w:styleId="XboxChar">
    <w:name w:val="Xbox Char"/>
    <w:basedOn w:val="CheckboxChar"/>
    <w:link w:val="Xbox"/>
    <w:rsid w:val="00A619D3"/>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A32721"/>
    <w:rPr>
      <w:b/>
      <w:i/>
      <w:color w:val="6F61B0"/>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A619D3"/>
    <w:pPr>
      <w:numPr>
        <w:numId w:val="15"/>
      </w:numPr>
      <w:spacing w:line="240" w:lineRule="auto"/>
      <w:ind w:right="274"/>
      <w:contextualSpacing/>
    </w:pPr>
  </w:style>
  <w:style w:type="character" w:customStyle="1" w:styleId="BulletListTextChar">
    <w:name w:val="Bullet List Text Char"/>
    <w:basedOn w:val="BodyTextChar"/>
    <w:link w:val="BulletListText"/>
    <w:rsid w:val="00A619D3"/>
    <w:rPr>
      <w:rFonts w:ascii="Calibri" w:eastAsia="Times New Roman" w:hAnsi="Calibri" w:cs="Arial"/>
      <w:color w:val="595959"/>
      <w:szCs w:val="20"/>
    </w:rPr>
  </w:style>
  <w:style w:type="character" w:styleId="Hyperlink">
    <w:name w:val="Hyperlink"/>
    <w:basedOn w:val="DefaultParagraphFont"/>
    <w:uiPriority w:val="99"/>
    <w:unhideWhenUsed/>
    <w:rsid w:val="00EC05C9"/>
    <w:rPr>
      <w:color w:val="0563C1" w:themeColor="hyperlink"/>
      <w:u w:val="single"/>
    </w:rPr>
  </w:style>
  <w:style w:type="character" w:customStyle="1" w:styleId="UnresolvedMention1">
    <w:name w:val="Unresolved Mention1"/>
    <w:basedOn w:val="DefaultParagraphFont"/>
    <w:uiPriority w:val="99"/>
    <w:semiHidden/>
    <w:unhideWhenUsed/>
    <w:rsid w:val="00EC05C9"/>
    <w:rPr>
      <w:color w:val="605E5C"/>
      <w:shd w:val="clear" w:color="auto" w:fill="E1DFDD"/>
    </w:rPr>
  </w:style>
  <w:style w:type="paragraph" w:customStyle="1" w:styleId="Checkmark">
    <w:name w:val="Check mark"/>
    <w:basedOn w:val="ListParagraph"/>
    <w:link w:val="CheckmarkChar"/>
    <w:qFormat/>
    <w:rsid w:val="002B1ACB"/>
    <w:pPr>
      <w:numPr>
        <w:numId w:val="17"/>
      </w:numPr>
      <w:ind w:left="720"/>
      <w:contextualSpacing w:val="0"/>
    </w:pPr>
    <w:rPr>
      <w:rFonts w:ascii="Calibri" w:eastAsia="Calibri" w:hAnsi="Calibri" w:cs="Times New Roman"/>
      <w:color w:val="595959"/>
      <w:sz w:val="24"/>
    </w:rPr>
  </w:style>
  <w:style w:type="numbering" w:customStyle="1" w:styleId="Style3">
    <w:name w:val="Style3"/>
    <w:uiPriority w:val="99"/>
    <w:rsid w:val="002B1ACB"/>
    <w:pPr>
      <w:numPr>
        <w:numId w:val="17"/>
      </w:numPr>
    </w:pPr>
  </w:style>
  <w:style w:type="character" w:customStyle="1" w:styleId="CheckmarkChar">
    <w:name w:val="Check mark Char"/>
    <w:link w:val="Checkmark"/>
    <w:rsid w:val="002B1ACB"/>
    <w:rPr>
      <w:rFonts w:ascii="Calibri" w:eastAsia="Calibri" w:hAnsi="Calibri" w:cs="Times New Roman"/>
      <w:color w:val="595959"/>
      <w:sz w:val="24"/>
    </w:rPr>
  </w:style>
  <w:style w:type="paragraph" w:customStyle="1" w:styleId="Body-Text">
    <w:name w:val="Body - Text"/>
    <w:basedOn w:val="Normal"/>
    <w:link w:val="Body-TextChar"/>
    <w:qFormat/>
    <w:rsid w:val="002B1ACB"/>
    <w:rPr>
      <w:rFonts w:ascii="Calibri" w:eastAsia="Calibri" w:hAnsi="Calibri" w:cs="Times New Roman"/>
      <w:color w:val="595959"/>
      <w:sz w:val="24"/>
      <w:szCs w:val="24"/>
    </w:rPr>
  </w:style>
  <w:style w:type="character" w:customStyle="1" w:styleId="Body-TextChar">
    <w:name w:val="Body - Text Char"/>
    <w:link w:val="Body-Text"/>
    <w:rsid w:val="002B1ACB"/>
    <w:rPr>
      <w:rFonts w:ascii="Calibri" w:eastAsia="Calibri" w:hAnsi="Calibri" w:cs="Times New Roman"/>
      <w:color w:val="595959"/>
      <w:sz w:val="24"/>
      <w:szCs w:val="24"/>
    </w:rPr>
  </w:style>
  <w:style w:type="paragraph" w:styleId="ListParagraph">
    <w:name w:val="List Paragraph"/>
    <w:basedOn w:val="Normal"/>
    <w:uiPriority w:val="34"/>
    <w:rsid w:val="002B1ACB"/>
    <w:pPr>
      <w:ind w:left="720"/>
      <w:contextualSpacing/>
    </w:pPr>
  </w:style>
  <w:style w:type="character" w:customStyle="1" w:styleId="Heading2Char">
    <w:name w:val="Heading 2 Char"/>
    <w:basedOn w:val="DefaultParagraphFont"/>
    <w:link w:val="Heading2"/>
    <w:uiPriority w:val="9"/>
    <w:rsid w:val="00896CEC"/>
    <w:rPr>
      <w:rFonts w:ascii="Calibri" w:eastAsia="Calibri" w:hAnsi="Calibri" w:cs="Times New Roman"/>
      <w:b/>
      <w:color w:val="12A9D8"/>
      <w:sz w:val="28"/>
    </w:rPr>
  </w:style>
  <w:style w:type="character" w:customStyle="1" w:styleId="Heading5Char">
    <w:name w:val="Heading 5 Char"/>
    <w:basedOn w:val="DefaultParagraphFont"/>
    <w:link w:val="Heading5"/>
    <w:uiPriority w:val="9"/>
    <w:rsid w:val="00896CEC"/>
    <w:rPr>
      <w:rFonts w:ascii="Calibri" w:eastAsia="Times New Roman" w:hAnsi="Calibri" w:cs="Times New Roman"/>
      <w:b/>
      <w:bCs/>
      <w:i/>
      <w:iCs/>
      <w:color w:val="595959"/>
      <w:sz w:val="26"/>
      <w:szCs w:val="26"/>
    </w:rPr>
  </w:style>
  <w:style w:type="character" w:styleId="CommentReference">
    <w:name w:val="annotation reference"/>
    <w:uiPriority w:val="99"/>
    <w:semiHidden/>
    <w:unhideWhenUsed/>
    <w:rsid w:val="00896CEC"/>
    <w:rPr>
      <w:sz w:val="16"/>
      <w:szCs w:val="16"/>
    </w:rPr>
  </w:style>
  <w:style w:type="paragraph" w:styleId="CommentText">
    <w:name w:val="annotation text"/>
    <w:basedOn w:val="Normal"/>
    <w:link w:val="CommentTextChar"/>
    <w:uiPriority w:val="99"/>
    <w:semiHidden/>
    <w:unhideWhenUsed/>
    <w:rsid w:val="00896CEC"/>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96CE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96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CEC"/>
    <w:rPr>
      <w:rFonts w:ascii="Segoe UI" w:hAnsi="Segoe UI" w:cs="Segoe UI"/>
      <w:sz w:val="18"/>
      <w:szCs w:val="18"/>
    </w:rPr>
  </w:style>
  <w:style w:type="character" w:styleId="FollowedHyperlink">
    <w:name w:val="FollowedHyperlink"/>
    <w:basedOn w:val="DefaultParagraphFont"/>
    <w:uiPriority w:val="99"/>
    <w:semiHidden/>
    <w:unhideWhenUsed/>
    <w:rsid w:val="00E2362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F185F"/>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185F"/>
    <w:rPr>
      <w:rFonts w:ascii="Calibri" w:eastAsia="Calibri" w:hAnsi="Calibri" w:cs="Times New Roman"/>
      <w:b/>
      <w:bCs/>
      <w:sz w:val="20"/>
      <w:szCs w:val="20"/>
    </w:rPr>
  </w:style>
  <w:style w:type="character" w:customStyle="1" w:styleId="Heading6Char">
    <w:name w:val="Heading 6 Char"/>
    <w:basedOn w:val="DefaultParagraphFont"/>
    <w:link w:val="Heading6"/>
    <w:uiPriority w:val="9"/>
    <w:rsid w:val="00C3051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rs.gov/coronaviru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who.int/emergencies/diseases/novel-coronavirus-2019/advice-for-public" TargetMode="External"/><Relationship Id="rId17" Type="http://schemas.openxmlformats.org/officeDocument/2006/relationships/hyperlink" Target="https://www.irs.gov/coronavirus" TargetMode="External"/><Relationship Id="rId2" Type="http://schemas.openxmlformats.org/officeDocument/2006/relationships/styles" Target="styles.xml"/><Relationship Id="rId16" Type="http://schemas.openxmlformats.org/officeDocument/2006/relationships/hyperlink" Target="https://www.irs.gov/forms-pubs/about-form-94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ummar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rs.gov/newsroom/treasury-irs-and-labor-announce-plan-to-implement-coronavirus-related-paid-leave-for-workers-and-tax-credits-for-small-and-midsize-businesses-to-swiftly-recover-the-cost-of-providing-coronaviru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Legal%20Content\2020%20Compliance%20Docs%20Redesign\Compliance%20Bulletin\Portrait\HR_Compliance%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HR_Compliance Bulletin</Template>
  <TotalTime>12</TotalTime>
  <Pages>4</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 Erica</dc:creator>
  <cp:lastModifiedBy>Carol A. LaCombe</cp:lastModifiedBy>
  <cp:revision>2</cp:revision>
  <dcterms:created xsi:type="dcterms:W3CDTF">2020-03-24T12:56:00Z</dcterms:created>
  <dcterms:modified xsi:type="dcterms:W3CDTF">2020-03-24T12:56:00Z</dcterms:modified>
</cp:coreProperties>
</file>